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41" w:rsidRPr="00E40942" w:rsidRDefault="0091566A" w:rsidP="00E40942">
      <w:pPr>
        <w:pStyle w:val="Heading1"/>
      </w:pPr>
      <w:bookmarkStart w:id="0" w:name="_Toc332195690"/>
      <w:r>
        <w:t>Appendix</w:t>
      </w:r>
      <w:bookmarkStart w:id="1" w:name="_GoBack"/>
      <w:bookmarkEnd w:id="1"/>
      <w:r>
        <w:t xml:space="preserve"> </w:t>
      </w:r>
      <w:r w:rsidR="009A0A41" w:rsidRPr="00E40942">
        <w:t>S</w:t>
      </w:r>
      <w:r>
        <w:t>1</w:t>
      </w:r>
      <w:r w:rsidR="009A0A41" w:rsidRPr="00E40942">
        <w:t>: Epidemiological measures required as data input</w:t>
      </w:r>
      <w:bookmarkEnd w:id="0"/>
      <w:r w:rsidR="009A0A41" w:rsidRPr="00E40942">
        <w:t xml:space="preserve"> </w:t>
      </w:r>
    </w:p>
    <w:p w:rsidR="009A0A41" w:rsidRDefault="009A0A41" w:rsidP="009A0A41">
      <w:pPr>
        <w:rPr>
          <w:lang w:val="en-AU"/>
        </w:rPr>
      </w:pPr>
    </w:p>
    <w:p w:rsidR="009A0A41" w:rsidRDefault="009A0A41" w:rsidP="00FF673F">
      <w:pPr>
        <w:pBdr>
          <w:top w:val="single" w:sz="4" w:space="1" w:color="auto"/>
          <w:bottom w:val="single" w:sz="4" w:space="1" w:color="auto"/>
        </w:pBdr>
        <w:rPr>
          <w:b/>
          <w:u w:val="single"/>
          <w:lang w:val="en-AU"/>
        </w:rPr>
      </w:pPr>
      <w:r w:rsidRPr="008A48F8">
        <w:rPr>
          <w:b/>
          <w:u w:val="single"/>
          <w:lang w:val="en-AU"/>
        </w:rPr>
        <w:t>Prevalence</w:t>
      </w:r>
    </w:p>
    <w:p w:rsidR="009A0A41" w:rsidRDefault="009A0A41" w:rsidP="00FF673F">
      <w:pPr>
        <w:pBdr>
          <w:top w:val="single" w:sz="4" w:space="1" w:color="auto"/>
          <w:bottom w:val="single" w:sz="4" w:space="1" w:color="auto"/>
        </w:pBdr>
      </w:pPr>
      <w:r>
        <w:t xml:space="preserve">Required information: </w:t>
      </w:r>
    </w:p>
    <w:p w:rsidR="009A0A41" w:rsidRDefault="009A0A41" w:rsidP="00FF673F">
      <w:pPr>
        <w:pBdr>
          <w:top w:val="single" w:sz="4" w:space="1" w:color="auto"/>
          <w:bottom w:val="single" w:sz="4" w:space="1" w:color="auto"/>
        </w:pBdr>
        <w:rPr>
          <w:lang w:val="en-AU"/>
        </w:rPr>
      </w:pPr>
      <w:r>
        <w:t xml:space="preserve">1. Prevalence of cases meeting DSM or ICD diagnostic criteria consistent with disorder definitions for GBD 2010. </w:t>
      </w:r>
      <w:r w:rsidRPr="006C1196">
        <w:t>P</w:t>
      </w:r>
      <w:r>
        <w:t xml:space="preserve">oint prevalence </w:t>
      </w:r>
      <w:r w:rsidRPr="006C1196">
        <w:t xml:space="preserve">was defined as: </w:t>
      </w:r>
      <w:r>
        <w:t xml:space="preserve">Number of cases / Number of people in the population. </w:t>
      </w:r>
      <w:r w:rsidRPr="0032532A">
        <w:rPr>
          <w:lang w:val="en-AU"/>
        </w:rPr>
        <w:t>Both the cases and the population are measured at the same point in time, and the cases are included in the population</w:t>
      </w:r>
      <w:r>
        <w:rPr>
          <w:lang w:val="en-AU"/>
        </w:rPr>
        <w:t xml:space="preserve"> number</w:t>
      </w:r>
      <w:r w:rsidRPr="0032532A">
        <w:rPr>
          <w:lang w:val="en-AU"/>
        </w:rPr>
        <w:t xml:space="preserve">. </w:t>
      </w:r>
    </w:p>
    <w:p w:rsidR="009A0A41" w:rsidRDefault="009A0A41" w:rsidP="00FF673F">
      <w:pPr>
        <w:pBdr>
          <w:top w:val="single" w:sz="4" w:space="1" w:color="auto"/>
          <w:bottom w:val="single" w:sz="4" w:space="1" w:color="auto"/>
        </w:pBdr>
      </w:pPr>
      <w:r w:rsidRPr="0032532A">
        <w:rPr>
          <w:lang w:val="en-AU"/>
        </w:rPr>
        <w:t xml:space="preserve">Period prevalence </w:t>
      </w:r>
      <w:r>
        <w:rPr>
          <w:lang w:val="en-AU"/>
        </w:rPr>
        <w:t>wa</w:t>
      </w:r>
      <w:r w:rsidRPr="0032532A">
        <w:rPr>
          <w:lang w:val="en-AU"/>
        </w:rPr>
        <w:t>s defined as</w:t>
      </w:r>
      <w:r>
        <w:rPr>
          <w:lang w:val="en-AU"/>
        </w:rPr>
        <w:t xml:space="preserve">: </w:t>
      </w:r>
      <w:r w:rsidRPr="0032532A">
        <w:t xml:space="preserve">Number of </w:t>
      </w:r>
      <w:r>
        <w:t>people with disease during a certain period</w:t>
      </w:r>
      <w:r w:rsidRPr="0032532A">
        <w:t xml:space="preserve"> / </w:t>
      </w:r>
      <w:r>
        <w:t xml:space="preserve">Total </w:t>
      </w:r>
      <w:r w:rsidRPr="0032532A">
        <w:t>Number of people in the population</w:t>
      </w:r>
      <w:r>
        <w:t>.</w:t>
      </w:r>
    </w:p>
    <w:p w:rsidR="009A0A41" w:rsidRDefault="009A0A41" w:rsidP="00FF673F">
      <w:pPr>
        <w:pBdr>
          <w:top w:val="single" w:sz="4" w:space="1" w:color="auto"/>
          <w:bottom w:val="single" w:sz="4" w:space="1" w:color="auto"/>
        </w:pBdr>
      </w:pPr>
      <w:r w:rsidRPr="00782A14">
        <w:t xml:space="preserve">Estimates for prevalence were included if measures were reported as: point or 30-day prevalence, 3-month, </w:t>
      </w:r>
      <w:proofErr w:type="gramStart"/>
      <w:r w:rsidRPr="00782A14">
        <w:t>6</w:t>
      </w:r>
      <w:proofErr w:type="gramEnd"/>
      <w:r w:rsidRPr="00782A14">
        <w:t>-month or past-year prevalence.</w:t>
      </w:r>
    </w:p>
    <w:p w:rsidR="009A0A41" w:rsidRDefault="009A0A41" w:rsidP="00FF673F">
      <w:pPr>
        <w:pBdr>
          <w:top w:val="single" w:sz="4" w:space="1" w:color="auto"/>
          <w:bottom w:val="single" w:sz="4" w:space="1" w:color="auto"/>
        </w:pBdr>
      </w:pPr>
      <w:r>
        <w:t xml:space="preserve">2. Estimates of </w:t>
      </w:r>
      <w:r>
        <w:rPr>
          <w:bCs/>
        </w:rPr>
        <w:t>u</w:t>
      </w:r>
      <w:r>
        <w:t>ncertainty (standard error (SE) or confidence interval (CI)) around prevalence. If SE or CI were not reported, SE was calculated using SE = (p*(1–p))/N where p was the proportion of cases and N the denominator.</w:t>
      </w:r>
    </w:p>
    <w:p w:rsidR="009A0A41" w:rsidRDefault="009A0A41" w:rsidP="009A0A41"/>
    <w:p w:rsidR="009A0A41" w:rsidRDefault="009A0A41" w:rsidP="00FF673F">
      <w:pPr>
        <w:pBdr>
          <w:top w:val="single" w:sz="4" w:space="1" w:color="auto"/>
          <w:bottom w:val="single" w:sz="4" w:space="1" w:color="auto"/>
        </w:pBdr>
        <w:rPr>
          <w:b/>
          <w:u w:val="single"/>
          <w:lang w:val="en-AU"/>
        </w:rPr>
      </w:pPr>
      <w:r w:rsidRPr="008A48F8">
        <w:rPr>
          <w:b/>
          <w:u w:val="single"/>
          <w:lang w:val="en-AU"/>
        </w:rPr>
        <w:t>Incidence</w:t>
      </w:r>
    </w:p>
    <w:p w:rsidR="009A0A41" w:rsidRDefault="009A0A41" w:rsidP="00FF673F">
      <w:pPr>
        <w:pBdr>
          <w:top w:val="single" w:sz="4" w:space="1" w:color="auto"/>
          <w:bottom w:val="single" w:sz="4" w:space="1" w:color="auto"/>
        </w:pBdr>
      </w:pPr>
      <w:r w:rsidRPr="00406620">
        <w:t xml:space="preserve">Required information: </w:t>
      </w:r>
    </w:p>
    <w:p w:rsidR="009A0A41" w:rsidRDefault="009A0A41" w:rsidP="00FF673F">
      <w:pPr>
        <w:pBdr>
          <w:top w:val="single" w:sz="4" w:space="1" w:color="auto"/>
          <w:bottom w:val="single" w:sz="4" w:space="1" w:color="auto"/>
        </w:pBdr>
        <w:rPr>
          <w:lang w:val="en-AU"/>
        </w:rPr>
      </w:pPr>
      <w:r>
        <w:rPr>
          <w:lang w:val="en-AU"/>
        </w:rPr>
        <w:t xml:space="preserve">1. </w:t>
      </w:r>
      <w:r w:rsidRPr="00406620">
        <w:rPr>
          <w:lang w:val="en-AU"/>
        </w:rPr>
        <w:t>Measures of the incidence hazard</w:t>
      </w:r>
      <w:r>
        <w:rPr>
          <w:lang w:val="en-AU"/>
        </w:rPr>
        <w:t xml:space="preserve"> or </w:t>
      </w:r>
      <w:r w:rsidRPr="00406620">
        <w:rPr>
          <w:lang w:val="en-AU"/>
        </w:rPr>
        <w:t xml:space="preserve">the population rate </w:t>
      </w:r>
      <w:r>
        <w:rPr>
          <w:lang w:val="en-AU"/>
        </w:rPr>
        <w:t xml:space="preserve">(incidence probability) </w:t>
      </w:r>
      <w:r w:rsidRPr="00406620">
        <w:rPr>
          <w:lang w:val="en-AU"/>
        </w:rPr>
        <w:t>over a period of 12 months were required (i.e. estimates of annual incidence). The incidence hazard is defined as: Number of new cases with disease during a certain period / Total number of person time at risk. Persons are at risk when alive, susceptible, and not a case.</w:t>
      </w:r>
    </w:p>
    <w:p w:rsidR="009A0A41" w:rsidRDefault="009A0A41" w:rsidP="00FF673F">
      <w:pPr>
        <w:pBdr>
          <w:top w:val="single" w:sz="4" w:space="1" w:color="auto"/>
          <w:bottom w:val="single" w:sz="4" w:space="1" w:color="auto"/>
        </w:pBdr>
        <w:rPr>
          <w:lang w:val="en-AU"/>
        </w:rPr>
      </w:pPr>
      <w:r w:rsidRPr="00406620">
        <w:rPr>
          <w:lang w:val="en-AU"/>
        </w:rPr>
        <w:t>The population rate was defined as: Number of new cases with disease during a certain period / Average number of persons in the population.</w:t>
      </w:r>
      <w:r>
        <w:rPr>
          <w:lang w:val="en-AU"/>
        </w:rPr>
        <w:t xml:space="preserve"> </w:t>
      </w:r>
      <w:r w:rsidRPr="00933A03">
        <w:rPr>
          <w:lang w:val="en-AU"/>
        </w:rPr>
        <w:t xml:space="preserve">The “average number of persons in the population” serves as an approximation for the person-time at risk.  </w:t>
      </w:r>
    </w:p>
    <w:p w:rsidR="009A0A41" w:rsidRDefault="009A0A41" w:rsidP="00FF673F">
      <w:pPr>
        <w:pBdr>
          <w:top w:val="single" w:sz="4" w:space="1" w:color="auto"/>
          <w:bottom w:val="single" w:sz="4" w:space="1" w:color="auto"/>
        </w:pBdr>
      </w:pPr>
      <w:r w:rsidRPr="00406620">
        <w:t xml:space="preserve">2. Estimates of </w:t>
      </w:r>
      <w:r w:rsidRPr="00406620">
        <w:rPr>
          <w:bCs/>
        </w:rPr>
        <w:t>u</w:t>
      </w:r>
      <w:r w:rsidRPr="00406620">
        <w:t>ncertainty (standard error (SE) or confidence interval (CI)) around incidence.</w:t>
      </w:r>
    </w:p>
    <w:p w:rsidR="009A0A41" w:rsidRDefault="009A0A41" w:rsidP="009A0A41">
      <w:pPr>
        <w:rPr>
          <w:b/>
          <w:u w:val="single"/>
          <w:lang w:val="en-AU"/>
        </w:rPr>
      </w:pPr>
    </w:p>
    <w:p w:rsidR="009A0A41" w:rsidRDefault="009A0A41" w:rsidP="00FF673F">
      <w:pPr>
        <w:pBdr>
          <w:top w:val="single" w:sz="4" w:space="1" w:color="auto"/>
          <w:bottom w:val="single" w:sz="4" w:space="1" w:color="auto"/>
        </w:pBdr>
        <w:rPr>
          <w:b/>
          <w:u w:val="single"/>
          <w:lang w:val="en-AU"/>
        </w:rPr>
      </w:pPr>
      <w:r w:rsidRPr="008A48F8">
        <w:rPr>
          <w:b/>
          <w:u w:val="single"/>
          <w:lang w:val="en-AU"/>
        </w:rPr>
        <w:t xml:space="preserve">Remission </w:t>
      </w:r>
    </w:p>
    <w:p w:rsidR="009A0A41" w:rsidRDefault="009A0A41" w:rsidP="00FF673F">
      <w:pPr>
        <w:pBdr>
          <w:top w:val="single" w:sz="4" w:space="1" w:color="auto"/>
          <w:bottom w:val="single" w:sz="4" w:space="1" w:color="auto"/>
        </w:pBdr>
      </w:pPr>
      <w:r w:rsidRPr="0032532A">
        <w:t xml:space="preserve">Required information: </w:t>
      </w:r>
    </w:p>
    <w:p w:rsidR="009A0A41" w:rsidRDefault="009A0A41" w:rsidP="00FF673F">
      <w:pPr>
        <w:pBdr>
          <w:top w:val="single" w:sz="4" w:space="1" w:color="auto"/>
          <w:bottom w:val="single" w:sz="4" w:space="1" w:color="auto"/>
        </w:pBdr>
        <w:rPr>
          <w:lang w:val="en-AU"/>
        </w:rPr>
      </w:pPr>
      <w:r>
        <w:t xml:space="preserve">1. </w:t>
      </w:r>
      <w:r w:rsidRPr="00782A14">
        <w:t xml:space="preserve">Remission was defined as </w:t>
      </w:r>
      <w:r w:rsidRPr="00782A14">
        <w:rPr>
          <w:i/>
        </w:rPr>
        <w:t>no longer fulfilling the diagnostic criteria for the disorder.</w:t>
      </w:r>
      <w:r w:rsidRPr="00782A14">
        <w:t xml:space="preserve"> </w:t>
      </w:r>
      <w:r w:rsidRPr="00933A03">
        <w:rPr>
          <w:lang w:val="en-AU"/>
        </w:rPr>
        <w:t xml:space="preserve">Remission is similarly defined </w:t>
      </w:r>
      <w:r>
        <w:rPr>
          <w:lang w:val="en-AU"/>
        </w:rPr>
        <w:t>as</w:t>
      </w:r>
      <w:r w:rsidRPr="00933A03">
        <w:rPr>
          <w:lang w:val="en-AU"/>
        </w:rPr>
        <w:t xml:space="preserve"> an annual hazard rate to recover from the disease, with person-time with disease in the denominator. </w:t>
      </w:r>
      <w:r>
        <w:rPr>
          <w:lang w:val="en-AU"/>
        </w:rPr>
        <w:t xml:space="preserve">These data are rarely available therefore where number of remitted </w:t>
      </w:r>
      <w:r>
        <w:rPr>
          <w:lang w:val="en-AU"/>
        </w:rPr>
        <w:lastRenderedPageBreak/>
        <w:t>cases were reported, the remission rate could be calculated:</w:t>
      </w:r>
      <w:r w:rsidRPr="00884762">
        <w:rPr>
          <w:rFonts w:eastAsia="Calibri"/>
          <w:lang w:val="en-AU"/>
        </w:rPr>
        <w:t xml:space="preserve"> </w:t>
      </w:r>
      <w:r w:rsidRPr="00884762">
        <w:rPr>
          <w:lang w:val="en-AU"/>
        </w:rPr>
        <w:t xml:space="preserve">Weighted </w:t>
      </w:r>
      <w:r>
        <w:rPr>
          <w:lang w:val="en-AU"/>
        </w:rPr>
        <w:t>remission rate</w:t>
      </w:r>
      <w:r w:rsidRPr="00884762">
        <w:rPr>
          <w:lang w:val="en-AU"/>
        </w:rPr>
        <w:t xml:space="preserve"> (%) = ∑ [a*</w:t>
      </w:r>
      <w:r>
        <w:rPr>
          <w:lang w:val="en-AU"/>
        </w:rPr>
        <w:t>(</w:t>
      </w:r>
      <w:r w:rsidRPr="00884762">
        <w:rPr>
          <w:lang w:val="en-AU"/>
        </w:rPr>
        <w:t>(-</w:t>
      </w:r>
      <w:proofErr w:type="spellStart"/>
      <w:r w:rsidRPr="00884762">
        <w:rPr>
          <w:lang w:val="en-AU"/>
        </w:rPr>
        <w:t>ln</w:t>
      </w:r>
      <w:proofErr w:type="spellEnd"/>
      <w:r w:rsidRPr="00884762">
        <w:rPr>
          <w:lang w:val="en-AU"/>
        </w:rPr>
        <w:t xml:space="preserve"> (1 - b))/c</w:t>
      </w:r>
      <w:r>
        <w:rPr>
          <w:lang w:val="en-AU"/>
        </w:rPr>
        <w:t>)</w:t>
      </w:r>
      <w:r w:rsidRPr="00884762">
        <w:rPr>
          <w:lang w:val="en-AU"/>
        </w:rPr>
        <w:t>]/∑a</w:t>
      </w:r>
      <w:r>
        <w:rPr>
          <w:lang w:val="en-AU"/>
        </w:rPr>
        <w:t xml:space="preserve"> </w:t>
      </w:r>
      <w:r w:rsidRPr="00884762">
        <w:rPr>
          <w:lang w:val="en-AU"/>
        </w:rPr>
        <w:t xml:space="preserve">where </w:t>
      </w:r>
      <w:proofErr w:type="gramStart"/>
      <w:r w:rsidRPr="00884762">
        <w:rPr>
          <w:lang w:val="en-AU"/>
        </w:rPr>
        <w:t>a is</w:t>
      </w:r>
      <w:proofErr w:type="gramEnd"/>
      <w:r w:rsidRPr="00884762">
        <w:rPr>
          <w:lang w:val="en-AU"/>
        </w:rPr>
        <w:t xml:space="preserve"> sample size, b is remission proportion and c is follow-up (years)</w:t>
      </w:r>
      <w:r>
        <w:rPr>
          <w:lang w:val="en-AU"/>
        </w:rPr>
        <w:t xml:space="preserve"> where sufficient data were reported</w:t>
      </w:r>
      <w:r w:rsidRPr="00884762">
        <w:rPr>
          <w:lang w:val="en-AU"/>
        </w:rPr>
        <w:t>.</w:t>
      </w:r>
    </w:p>
    <w:p w:rsidR="009A0A41" w:rsidRDefault="009A0A41" w:rsidP="009A0A41">
      <w:pPr>
        <w:rPr>
          <w:lang w:val="en-AU"/>
        </w:rPr>
      </w:pPr>
    </w:p>
    <w:p w:rsidR="009A0A41" w:rsidRPr="000C378D" w:rsidRDefault="009A0A41" w:rsidP="00FF673F">
      <w:pPr>
        <w:pBdr>
          <w:top w:val="single" w:sz="4" w:space="1" w:color="auto"/>
          <w:bottom w:val="single" w:sz="4" w:space="1" w:color="auto"/>
        </w:pBdr>
        <w:rPr>
          <w:b/>
          <w:u w:val="single"/>
          <w:lang w:val="en-AU"/>
        </w:rPr>
      </w:pPr>
      <w:r w:rsidRPr="000C378D">
        <w:rPr>
          <w:b/>
          <w:u w:val="single"/>
          <w:lang w:val="en-AU"/>
        </w:rPr>
        <w:t>Mortality</w:t>
      </w:r>
    </w:p>
    <w:p w:rsidR="009A0A41" w:rsidRDefault="009A0A41" w:rsidP="00FF673F">
      <w:pPr>
        <w:pBdr>
          <w:top w:val="single" w:sz="4" w:space="1" w:color="auto"/>
          <w:bottom w:val="single" w:sz="4" w:space="1" w:color="auto"/>
        </w:pBdr>
      </w:pPr>
      <w:r w:rsidRPr="0032532A">
        <w:t xml:space="preserve">Required information: </w:t>
      </w:r>
    </w:p>
    <w:p w:rsidR="009A0A41" w:rsidRDefault="009A0A41" w:rsidP="00FF673F">
      <w:pPr>
        <w:pBdr>
          <w:top w:val="single" w:sz="4" w:space="1" w:color="auto"/>
          <w:bottom w:val="single" w:sz="4" w:space="1" w:color="auto"/>
        </w:pBdr>
        <w:rPr>
          <w:lang w:val="en-AU"/>
        </w:rPr>
      </w:pPr>
      <w:r>
        <w:rPr>
          <w:lang w:val="en-AU"/>
        </w:rPr>
        <w:t>1. Measures of excess all-cause m</w:t>
      </w:r>
      <w:r w:rsidRPr="0010196E">
        <w:rPr>
          <w:lang w:val="en-AU"/>
        </w:rPr>
        <w:t>ortality</w:t>
      </w:r>
      <w:r>
        <w:rPr>
          <w:lang w:val="en-AU"/>
        </w:rPr>
        <w:t xml:space="preserve"> were required in the form of either relative risk (RR), standardized mortality ratio (SMR) or hazard rate (HR). RR was defined as Mortality of diseased / Mortality of non-diseased. As mortality in mental disorders is relatively low, the denominator could be approximated by mortality of the total population. </w:t>
      </w:r>
    </w:p>
    <w:p w:rsidR="002E7372" w:rsidRDefault="002E7372"/>
    <w:sectPr w:rsidR="002E7372" w:rsidSect="002E73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33EDB"/>
    <w:multiLevelType w:val="multilevel"/>
    <w:tmpl w:val="ED2428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1.%2.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0A41"/>
    <w:rsid w:val="00006299"/>
    <w:rsid w:val="000601C5"/>
    <w:rsid w:val="000621AE"/>
    <w:rsid w:val="00075440"/>
    <w:rsid w:val="00086F83"/>
    <w:rsid w:val="0009562F"/>
    <w:rsid w:val="000A0386"/>
    <w:rsid w:val="000D70B2"/>
    <w:rsid w:val="000E7BA7"/>
    <w:rsid w:val="000F287E"/>
    <w:rsid w:val="0012363D"/>
    <w:rsid w:val="00140E4A"/>
    <w:rsid w:val="00145AE5"/>
    <w:rsid w:val="00171E55"/>
    <w:rsid w:val="001A2840"/>
    <w:rsid w:val="001B2A56"/>
    <w:rsid w:val="001B5EB6"/>
    <w:rsid w:val="001D64BC"/>
    <w:rsid w:val="001D69FC"/>
    <w:rsid w:val="001F3FE5"/>
    <w:rsid w:val="00232770"/>
    <w:rsid w:val="0026578E"/>
    <w:rsid w:val="00276785"/>
    <w:rsid w:val="002C0C49"/>
    <w:rsid w:val="002D7FA0"/>
    <w:rsid w:val="002E5F9F"/>
    <w:rsid w:val="002E7372"/>
    <w:rsid w:val="002F0E91"/>
    <w:rsid w:val="003001F2"/>
    <w:rsid w:val="00310E19"/>
    <w:rsid w:val="003257AF"/>
    <w:rsid w:val="00345E78"/>
    <w:rsid w:val="00357D54"/>
    <w:rsid w:val="003A4009"/>
    <w:rsid w:val="003D702A"/>
    <w:rsid w:val="003F48EB"/>
    <w:rsid w:val="003F6A86"/>
    <w:rsid w:val="00400987"/>
    <w:rsid w:val="00411182"/>
    <w:rsid w:val="00441105"/>
    <w:rsid w:val="00452DBD"/>
    <w:rsid w:val="004A4131"/>
    <w:rsid w:val="004A5025"/>
    <w:rsid w:val="004A6A03"/>
    <w:rsid w:val="004B2F2A"/>
    <w:rsid w:val="004B4B29"/>
    <w:rsid w:val="004D5E9F"/>
    <w:rsid w:val="00500332"/>
    <w:rsid w:val="00504615"/>
    <w:rsid w:val="00513FF7"/>
    <w:rsid w:val="00520066"/>
    <w:rsid w:val="00531044"/>
    <w:rsid w:val="00554E70"/>
    <w:rsid w:val="00582C39"/>
    <w:rsid w:val="005A7B15"/>
    <w:rsid w:val="005B18E1"/>
    <w:rsid w:val="005B213C"/>
    <w:rsid w:val="005D2BF9"/>
    <w:rsid w:val="005E7991"/>
    <w:rsid w:val="00634FC8"/>
    <w:rsid w:val="006A7B8D"/>
    <w:rsid w:val="006D5041"/>
    <w:rsid w:val="006E0A06"/>
    <w:rsid w:val="006F0C9F"/>
    <w:rsid w:val="006F1034"/>
    <w:rsid w:val="006F291C"/>
    <w:rsid w:val="0071206E"/>
    <w:rsid w:val="00712B71"/>
    <w:rsid w:val="007358E0"/>
    <w:rsid w:val="007657A1"/>
    <w:rsid w:val="007B0740"/>
    <w:rsid w:val="007C6039"/>
    <w:rsid w:val="008030FC"/>
    <w:rsid w:val="00810EB6"/>
    <w:rsid w:val="00895C6E"/>
    <w:rsid w:val="008D38CD"/>
    <w:rsid w:val="008D6DA9"/>
    <w:rsid w:val="008E08D5"/>
    <w:rsid w:val="008F417F"/>
    <w:rsid w:val="0091566A"/>
    <w:rsid w:val="00924205"/>
    <w:rsid w:val="00926AB0"/>
    <w:rsid w:val="00935D7E"/>
    <w:rsid w:val="00945BE6"/>
    <w:rsid w:val="00963D91"/>
    <w:rsid w:val="009670E3"/>
    <w:rsid w:val="009933F8"/>
    <w:rsid w:val="009A0A41"/>
    <w:rsid w:val="009A13A6"/>
    <w:rsid w:val="009C135B"/>
    <w:rsid w:val="009C782A"/>
    <w:rsid w:val="009D2AF7"/>
    <w:rsid w:val="009F18CD"/>
    <w:rsid w:val="00A2391E"/>
    <w:rsid w:val="00AA0CC5"/>
    <w:rsid w:val="00AB5399"/>
    <w:rsid w:val="00AD3BB5"/>
    <w:rsid w:val="00AE50B9"/>
    <w:rsid w:val="00B84EB2"/>
    <w:rsid w:val="00B91D2E"/>
    <w:rsid w:val="00B930E7"/>
    <w:rsid w:val="00B94642"/>
    <w:rsid w:val="00BD118B"/>
    <w:rsid w:val="00C032CD"/>
    <w:rsid w:val="00C21C10"/>
    <w:rsid w:val="00C261B9"/>
    <w:rsid w:val="00C6654F"/>
    <w:rsid w:val="00C75D7B"/>
    <w:rsid w:val="00C9496C"/>
    <w:rsid w:val="00CB1A8D"/>
    <w:rsid w:val="00CB4A58"/>
    <w:rsid w:val="00CB75B1"/>
    <w:rsid w:val="00CC7489"/>
    <w:rsid w:val="00CF7BE5"/>
    <w:rsid w:val="00D24B93"/>
    <w:rsid w:val="00D41C46"/>
    <w:rsid w:val="00D52308"/>
    <w:rsid w:val="00D8661D"/>
    <w:rsid w:val="00DC5FA9"/>
    <w:rsid w:val="00DE1232"/>
    <w:rsid w:val="00DE17F9"/>
    <w:rsid w:val="00E16597"/>
    <w:rsid w:val="00E40942"/>
    <w:rsid w:val="00EC0BDD"/>
    <w:rsid w:val="00EC7992"/>
    <w:rsid w:val="00EE3BBC"/>
    <w:rsid w:val="00F00B43"/>
    <w:rsid w:val="00F106E2"/>
    <w:rsid w:val="00F210C8"/>
    <w:rsid w:val="00F26364"/>
    <w:rsid w:val="00F26A7C"/>
    <w:rsid w:val="00FA2E62"/>
    <w:rsid w:val="00FB0499"/>
    <w:rsid w:val="00FB426D"/>
    <w:rsid w:val="00FD4AEC"/>
    <w:rsid w:val="00F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740"/>
    <w:pPr>
      <w:spacing w:line="360" w:lineRule="auto"/>
      <w:contextualSpacing/>
      <w:jc w:val="both"/>
    </w:pPr>
    <w:rPr>
      <w:rFonts w:eastAsiaTheme="minorEastAsia"/>
      <w:lang w:val="en-NZ" w:eastAsia="en-NZ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40942"/>
    <w:pPr>
      <w:keepNext/>
      <w:keepLines/>
      <w:spacing w:before="480" w:after="24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autoRedefine/>
    <w:qFormat/>
    <w:rsid w:val="007B0740"/>
    <w:pPr>
      <w:keepNext/>
      <w:tabs>
        <w:tab w:val="left" w:pos="709"/>
        <w:tab w:val="left" w:pos="4536"/>
      </w:tabs>
      <w:spacing w:before="120" w:after="120"/>
      <w:contextualSpacing w:val="0"/>
      <w:outlineLvl w:val="1"/>
    </w:pPr>
    <w:rPr>
      <w:rFonts w:ascii="Arial" w:eastAsia="Times New Roman" w:hAnsi="Arial" w:cs="Arial"/>
      <w:b/>
      <w:bCs/>
      <w:iCs/>
      <w:color w:val="333333"/>
      <w:sz w:val="20"/>
      <w:szCs w:val="18"/>
      <w:lang w:val="en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06299"/>
    <w:pPr>
      <w:keepNext/>
      <w:keepLines/>
      <w:spacing w:before="200"/>
      <w:outlineLvl w:val="2"/>
    </w:pPr>
    <w:rPr>
      <w:rFonts w:ascii="Times New Roman" w:eastAsiaTheme="majorEastAsia" w:hAnsi="Times New Roman" w:cstheme="majorBidi"/>
      <w:bCs/>
      <w:i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">
    <w:name w:val="Figure"/>
    <w:basedOn w:val="Heading2"/>
    <w:link w:val="FigureChar"/>
    <w:autoRedefine/>
    <w:qFormat/>
    <w:rsid w:val="001F3FE5"/>
    <w:rPr>
      <w:lang w:val="en-NZ"/>
    </w:rPr>
  </w:style>
  <w:style w:type="character" w:customStyle="1" w:styleId="Heading2Char">
    <w:name w:val="Heading 2 Char"/>
    <w:basedOn w:val="DefaultParagraphFont"/>
    <w:link w:val="Heading2"/>
    <w:rsid w:val="007B0740"/>
    <w:rPr>
      <w:rFonts w:ascii="Arial" w:eastAsia="Times New Roman" w:hAnsi="Arial" w:cs="Arial"/>
      <w:b/>
      <w:bCs/>
      <w:iCs/>
      <w:color w:val="333333"/>
      <w:sz w:val="20"/>
      <w:szCs w:val="18"/>
      <w:lang w:val="en" w:eastAsia="en-NZ"/>
    </w:rPr>
  </w:style>
  <w:style w:type="character" w:customStyle="1" w:styleId="FigureChar">
    <w:name w:val="Figure Char"/>
    <w:basedOn w:val="Heading2Char"/>
    <w:link w:val="Figure"/>
    <w:rsid w:val="001F3FE5"/>
    <w:rPr>
      <w:rFonts w:asciiTheme="majorHAnsi" w:eastAsia="Times New Roman" w:hAnsiTheme="majorHAnsi" w:cstheme="minorHAnsi"/>
      <w:b/>
      <w:bCs/>
      <w:iCs/>
      <w:color w:val="333333"/>
      <w:sz w:val="24"/>
      <w:szCs w:val="28"/>
      <w:lang w:val="en-NZ" w:eastAsia="en-NZ"/>
    </w:rPr>
  </w:style>
  <w:style w:type="paragraph" w:customStyle="1" w:styleId="Table">
    <w:name w:val="Table"/>
    <w:basedOn w:val="Heading2"/>
    <w:autoRedefine/>
    <w:qFormat/>
    <w:rsid w:val="00441105"/>
    <w:pPr>
      <w:spacing w:line="240" w:lineRule="auto"/>
      <w:contextualSpacing/>
    </w:pPr>
    <w:rPr>
      <w:lang w:val="en-NZ"/>
    </w:rPr>
  </w:style>
  <w:style w:type="character" w:customStyle="1" w:styleId="Heading3Char">
    <w:name w:val="Heading 3 Char"/>
    <w:basedOn w:val="DefaultParagraphFont"/>
    <w:link w:val="Heading3"/>
    <w:uiPriority w:val="9"/>
    <w:rsid w:val="00006299"/>
    <w:rPr>
      <w:rFonts w:ascii="Times New Roman" w:eastAsiaTheme="majorEastAsia" w:hAnsi="Times New Roman" w:cstheme="majorBidi"/>
      <w:bCs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E409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NZ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12B71"/>
    <w:pPr>
      <w:spacing w:before="120" w:after="120" w:line="240" w:lineRule="auto"/>
    </w:pPr>
    <w:rPr>
      <w:rFonts w:asciiTheme="majorHAnsi" w:eastAsiaTheme="majorEastAsia" w:hAnsiTheme="majorHAnsi" w:cstheme="majorBidi"/>
      <w:b/>
      <w:spacing w:val="5"/>
      <w:kern w:val="28"/>
      <w:sz w:val="24"/>
      <w:szCs w:val="52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712B71"/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paragraph" w:customStyle="1" w:styleId="Tablefigurelocation">
    <w:name w:val="Table/figure location"/>
    <w:basedOn w:val="Normal"/>
    <w:autoRedefine/>
    <w:qFormat/>
    <w:rsid w:val="00B94642"/>
    <w:pPr>
      <w:spacing w:before="200"/>
    </w:pPr>
    <w:rPr>
      <w:rFonts w:eastAsia="Calibri" w:cs="Consolas"/>
      <w:b/>
    </w:rPr>
  </w:style>
  <w:style w:type="paragraph" w:customStyle="1" w:styleId="xl151">
    <w:name w:val="xl151"/>
    <w:basedOn w:val="Normal"/>
    <w:autoRedefine/>
    <w:qFormat/>
    <w:rsid w:val="00FA2E62"/>
    <w:pPr>
      <w:pBdr>
        <w:right w:val="single" w:sz="4" w:space="0" w:color="auto"/>
      </w:pBdr>
      <w:spacing w:before="120" w:after="120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en-AU"/>
    </w:rPr>
  </w:style>
  <w:style w:type="table" w:styleId="LightShading">
    <w:name w:val="Light Shading"/>
    <w:basedOn w:val="TableNormal"/>
    <w:uiPriority w:val="60"/>
    <w:rsid w:val="00D8661D"/>
    <w:pPr>
      <w:spacing w:after="0" w:line="240" w:lineRule="auto"/>
    </w:pPr>
    <w:rPr>
      <w:color w:val="000000" w:themeColor="text1" w:themeShade="BF"/>
      <w:lang w:val="en-NZ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ext">
    <w:name w:val="Text"/>
    <w:basedOn w:val="Normal"/>
    <w:autoRedefine/>
    <w:qFormat/>
    <w:rsid w:val="00712B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baxtera</dc:creator>
  <cp:lastModifiedBy>baxtera</cp:lastModifiedBy>
  <cp:revision>5</cp:revision>
  <dcterms:created xsi:type="dcterms:W3CDTF">2013-05-06T04:48:00Z</dcterms:created>
  <dcterms:modified xsi:type="dcterms:W3CDTF">2013-05-10T01:17:00Z</dcterms:modified>
</cp:coreProperties>
</file>