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0F" w:rsidRDefault="00790D0F" w:rsidP="002259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horzAnchor="margin" w:tblpX="-289" w:tblpY="585"/>
        <w:tblW w:w="14425" w:type="dxa"/>
        <w:tblLayout w:type="fixed"/>
        <w:tblLook w:val="04A0" w:firstRow="1" w:lastRow="0" w:firstColumn="1" w:lastColumn="0" w:noHBand="0" w:noVBand="1"/>
      </w:tblPr>
      <w:tblGrid>
        <w:gridCol w:w="1099"/>
        <w:gridCol w:w="992"/>
        <w:gridCol w:w="1134"/>
        <w:gridCol w:w="1044"/>
        <w:gridCol w:w="942"/>
        <w:gridCol w:w="991"/>
        <w:gridCol w:w="992"/>
        <w:gridCol w:w="992"/>
        <w:gridCol w:w="851"/>
        <w:gridCol w:w="708"/>
        <w:gridCol w:w="740"/>
        <w:gridCol w:w="676"/>
        <w:gridCol w:w="708"/>
        <w:gridCol w:w="851"/>
        <w:gridCol w:w="850"/>
        <w:gridCol w:w="855"/>
      </w:tblGrid>
      <w:tr w:rsidR="004D2ABE" w:rsidRPr="008C315D" w:rsidTr="004D2ABE">
        <w:tc>
          <w:tcPr>
            <w:tcW w:w="8186" w:type="dxa"/>
            <w:gridSpan w:val="8"/>
          </w:tcPr>
          <w:p w:rsidR="004D2ABE" w:rsidRPr="00926BFF" w:rsidRDefault="004D2ABE" w:rsidP="00B50AEF">
            <w:pPr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Primary studies included in systematic reviews</w:t>
            </w:r>
          </w:p>
        </w:tc>
        <w:tc>
          <w:tcPr>
            <w:tcW w:w="6239" w:type="dxa"/>
            <w:gridSpan w:val="8"/>
          </w:tcPr>
          <w:p w:rsidR="004D2ABE" w:rsidRDefault="004D2ABE" w:rsidP="00B50AEF">
            <w:pPr>
              <w:ind w:right="-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Systematic Reviews</w:t>
            </w: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ind w:right="-89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Author (date) Country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ind w:right="-60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PD construct: assessment (cut-point)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Setting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ind w:right="-117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Design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(clinical group/s: n)</w:t>
            </w:r>
          </w:p>
        </w:tc>
        <w:tc>
          <w:tcPr>
            <w:tcW w:w="991" w:type="dxa"/>
          </w:tcPr>
          <w:p w:rsidR="004D2ABE" w:rsidRDefault="004D2ABE" w:rsidP="004D2ABE">
            <w:pPr>
              <w:ind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Gender </w:t>
            </w:r>
          </w:p>
          <w:p w:rsidR="004D2ABE" w:rsidRPr="00926BFF" w:rsidRDefault="004D2ABE" w:rsidP="004D2ABE">
            <w:pPr>
              <w:ind w:right="-13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female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 ± SD: range</w:t>
            </w:r>
          </w:p>
          <w:p w:rsidR="004D2ABE" w:rsidRPr="00926BFF" w:rsidRDefault="004D2ABE" w:rsidP="004D2ABE">
            <w:pPr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years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ind w:right="-60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Race</w:t>
            </w:r>
          </w:p>
          <w:p w:rsidR="004D2ABE" w:rsidRPr="00926BFF" w:rsidRDefault="004D2ABE" w:rsidP="004D2ABE">
            <w:pPr>
              <w:ind w:right="-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 Caucasian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Keinanen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et al. (2012)</w:t>
            </w: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Laulik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et al. (2013)</w:t>
            </w: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Petfield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et al. (2015)</w:t>
            </w: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Eyden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et al. (2016)</w:t>
            </w: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Stepp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et al. (2016)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Winsper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et al. (2016)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Boucher et al. (2017)</w:t>
            </w:r>
          </w:p>
        </w:tc>
        <w:tc>
          <w:tcPr>
            <w:tcW w:w="855" w:type="dxa"/>
          </w:tcPr>
          <w:p w:rsidR="004D2ABE" w:rsidRPr="00926BFF" w:rsidRDefault="004D2ABE" w:rsidP="004D2ABE">
            <w:pPr>
              <w:ind w:right="-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Ibrahim et al. (2018)</w:t>
            </w: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Arens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et al. (2011)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 dx: SCID-II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Community: POP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Longitudinal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cohort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(SHIP)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68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(BPD: 17, DEP: 17, HC: 34)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BPD:  82.4%,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DEP: 82.4%,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HC: 82.4%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BPD: 19.7 ± 1.8,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DEP: 20.2 ± 2.3,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HC: 19.4 ± 1.9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Atlas (1995)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 dx: DIB-R (≥6)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Clinical: IN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38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(PA/SA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26, No PA/SA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: 12)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14.8 ± 1.3: 12.6-17 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Atlas (1996)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 dx: DIB-R (≥6)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Clinical: IN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38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(BPD: 26, PC: 12)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14.8 ± 1.3: 12.6-17 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Belskey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et al. (2012)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BPRC: SWAP-200-A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Community: POP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Longitudinal cohort (E-Risk)</w:t>
            </w:r>
          </w:p>
        </w:tc>
        <w:tc>
          <w:tcPr>
            <w:tcW w:w="94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2232 (N/R)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51%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5-12 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Bentivegna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(1985)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 dx DSM-III criteria-based dx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Clinical: IN + OUT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164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(BPD: 70, PC: 70, IS: 24)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BPD: 10,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PC: 10.3,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IS: 8.7: 9-10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Berzirganian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et al. (1993)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BPD dx,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NPD dx, HPD dx, CB dx, CAC dx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: T3: modified questions of the SCID-II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Community: POP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Longitudinal cohort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T3: 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588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BPD: 57, NPD: 66, HPD: 41,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CD: 70, CB: 113, CAC: 118, Axis 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I: 123)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T3: 48% 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T3: 16.4 ± 2.8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90% 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Biskin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et al. 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(2011)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 dx: R-DIB (≥ 6)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Longitudinal cohort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47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(N/R) 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15.1 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Cichetti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et al. (2014)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BPFS: BPFS-C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Community: HR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(LI SC)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1051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(MC: 562, 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NMC: 489)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50.2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10.4 ± 1.3: 8-12 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10.4% 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Goldman et al. (1992)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 dx: DSM-III-R dx criteria based dx (≥4), DIB-R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144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(BPD: 44, PC: 100)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27%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BPD: 10.8 ± 36,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PC: 10 ± 4.3 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Goodman (2011)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MDD dx: DIB-R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Clinical: IN,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Community: POP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Case-control 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25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(BPD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MDD: 12, HC: 13)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77%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15.8 ± 1.1 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Gratz et al. (2011)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BPF: CPNI (BP subscale)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Community: POP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225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(N/R)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45%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12.2 ± .8: 11-14 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50% 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Greenfield et al. (2015)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BPD </w:t>
            </w: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sxs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: Ab-DIB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Clinical: IN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Longitudinal cohort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(Greenfield 2002)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204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(N/R)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68.9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14.6 ± 1.5 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69.5% 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Greenman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(1986)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 dx: R-DIB (≥ 7)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Clinical: In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Case-control 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(McLean hospital)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(BPD: 27, PC: 59)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28%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6-12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Gudzer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et al. (1996)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 dx: C-DIB-R (≥ 7)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98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(BPD: 41, PC: 57)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BPD: 27%, PC: 14% 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BPD: 10, PC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9.6: 7-12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Gudzer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et al. (1999)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 dx: C-DIB-R (≥ 7)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94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(BPD: 41, PC: 53)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9.8: 7-12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Hallquist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Hipwell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&amp; </w:t>
            </w: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Stepp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(2015)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BPD </w:t>
            </w: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sxs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: IPDE-S (</w:t>
            </w: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cont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Community: HR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Longitudinal cohort (PGS)</w:t>
            </w:r>
          </w:p>
        </w:tc>
        <w:tc>
          <w:tcPr>
            <w:tcW w:w="94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2228 (N/R)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14-17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39% 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Hecht et al. (2014)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BPFS: BPFS-C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Community: LI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(LI SC)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599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(MC: 314, NMC: 285)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MC: 51%, NMC: 50.5%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11.3 ± .94: 10-12 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MC: 11.8% NMC: 8.1% 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Horesh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(2008)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Israel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 dx: DIB-R (≥7), DSM-IV-TR criteria based dx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Clinical: OUT, 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Community: POP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59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(BPD: 20, MDD: 19, HC: 20)</w:t>
            </w:r>
          </w:p>
        </w:tc>
        <w:tc>
          <w:tcPr>
            <w:tcW w:w="991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MDD: 68.42%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BPD: 95%, HC: 55%</w:t>
            </w:r>
          </w:p>
        </w:tc>
        <w:tc>
          <w:tcPr>
            <w:tcW w:w="99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MDD: 16.3 ± 1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BPD: 16.4 ± 1.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7,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HC: 17.5 ± 2.3 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Infurna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(2015) Germany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 dx: SCID-II (≥5)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Clinical: IN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71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(BPD: 44, PC: 47)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15.6 ± 1.4 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James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Berelowitz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Vereker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(1996)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 dx: R-DIB (≥7)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Clinical: IN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ind w:righ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Case-control 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48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(BPD: 24, PC: 24)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BPD: 14.9 ± 1.1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PC: 14.8 ± 1.2 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Ludolph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et al. 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(1990)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 dx, PD dx: R-DIB (≥7)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Clinical: IN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ind w:righ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Longitudinal cohort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Westen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1990)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(BPD: 27, PC: 23)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BPD: 15.8, PC: 15.5: 14-18 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8C315D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 xml:space="preserve">Nickell et al. (2002) </w:t>
            </w:r>
          </w:p>
          <w:p w:rsidR="004D2ABE" w:rsidRPr="008C315D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992" w:type="dxa"/>
          </w:tcPr>
          <w:p w:rsidR="004D2ABE" w:rsidRPr="008C315D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>BPF: PAI-BOR (&lt;37 and &gt;38), SIDP-IV, DIB-R</w:t>
            </w:r>
          </w:p>
        </w:tc>
        <w:tc>
          <w:tcPr>
            <w:tcW w:w="1134" w:type="dxa"/>
          </w:tcPr>
          <w:p w:rsidR="004D2ABE" w:rsidRPr="008C315D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 xml:space="preserve">Community: UND </w:t>
            </w:r>
          </w:p>
        </w:tc>
        <w:tc>
          <w:tcPr>
            <w:tcW w:w="1044" w:type="dxa"/>
          </w:tcPr>
          <w:p w:rsidR="004D2ABE" w:rsidRPr="008C315D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 xml:space="preserve">393 </w:t>
            </w:r>
          </w:p>
          <w:p w:rsidR="004D2ABE" w:rsidRPr="008C315D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 xml:space="preserve">(N/R)  </w:t>
            </w:r>
          </w:p>
        </w:tc>
        <w:tc>
          <w:tcPr>
            <w:tcW w:w="991" w:type="dxa"/>
          </w:tcPr>
          <w:p w:rsidR="004D2ABE" w:rsidRPr="008C315D" w:rsidRDefault="004D2ABE" w:rsidP="004D2ABE">
            <w:pPr>
              <w:ind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>54.30%</w:t>
            </w:r>
          </w:p>
        </w:tc>
        <w:tc>
          <w:tcPr>
            <w:tcW w:w="992" w:type="dxa"/>
          </w:tcPr>
          <w:p w:rsidR="004D2ABE" w:rsidRPr="008C315D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4D2ABE" w:rsidRPr="008C315D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 xml:space="preserve">84.9% </w:t>
            </w:r>
          </w:p>
        </w:tc>
        <w:tc>
          <w:tcPr>
            <w:tcW w:w="851" w:type="dxa"/>
          </w:tcPr>
          <w:p w:rsidR="004D2ABE" w:rsidRPr="008C315D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4D2ABE" w:rsidRPr="008C315D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8C315D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8C315D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8C315D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8C315D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D2ABE" w:rsidRPr="008C315D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8C315D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Rogosch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&amp; </w:t>
            </w: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Cichetti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(2005)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 precursors: BPD precursors composite (&gt;1 SD above M)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Community: LI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(LI SC)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360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(MC: 185, NMC: 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175)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48.6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6-12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82.8% "minority race/ethnicity"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</w:tr>
      <w:tr w:rsidR="004D2ABE" w:rsidRPr="008C315D" w:rsidTr="009C5018">
        <w:tc>
          <w:tcPr>
            <w:tcW w:w="1099" w:type="dxa"/>
          </w:tcPr>
          <w:p w:rsidR="004D2ABE" w:rsidRPr="008C315D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Trull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(2000</w:t>
            </w: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  <w:p w:rsidR="004D2ABE" w:rsidRPr="008C315D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992" w:type="dxa"/>
          </w:tcPr>
          <w:p w:rsidR="004D2ABE" w:rsidRPr="008C315D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>BPF: PAI-BOR (&gt;38), MMPI-BPD, SIDP-IV, DIB-R</w:t>
            </w:r>
          </w:p>
        </w:tc>
        <w:tc>
          <w:tcPr>
            <w:tcW w:w="1134" w:type="dxa"/>
          </w:tcPr>
          <w:p w:rsidR="004D2ABE" w:rsidRPr="008C315D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>Community: UND</w:t>
            </w:r>
          </w:p>
        </w:tc>
        <w:tc>
          <w:tcPr>
            <w:tcW w:w="1044" w:type="dxa"/>
          </w:tcPr>
          <w:p w:rsidR="004D2ABE" w:rsidRPr="008C315D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 xml:space="preserve">421 </w:t>
            </w:r>
          </w:p>
          <w:p w:rsidR="004D2ABE" w:rsidRPr="008C315D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>(BF+: 197, BF-: 199)</w:t>
            </w:r>
          </w:p>
        </w:tc>
        <w:tc>
          <w:tcPr>
            <w:tcW w:w="991" w:type="dxa"/>
          </w:tcPr>
          <w:p w:rsidR="004D2ABE" w:rsidRPr="008C315D" w:rsidRDefault="004D2ABE" w:rsidP="004D2ABE">
            <w:pPr>
              <w:ind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>BF+: 60.41%; BF-: 84.03%</w:t>
            </w:r>
          </w:p>
        </w:tc>
        <w:tc>
          <w:tcPr>
            <w:tcW w:w="992" w:type="dxa"/>
          </w:tcPr>
          <w:p w:rsidR="004D2ABE" w:rsidRPr="008C315D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4D2ABE" w:rsidRPr="008C315D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Times New Roman" w:hAnsi="Times New Roman" w:cs="Times New Roman"/>
                <w:sz w:val="16"/>
                <w:szCs w:val="16"/>
              </w:rPr>
              <w:t xml:space="preserve">84.1% </w:t>
            </w:r>
          </w:p>
        </w:tc>
        <w:tc>
          <w:tcPr>
            <w:tcW w:w="851" w:type="dxa"/>
          </w:tcPr>
          <w:p w:rsidR="004D2ABE" w:rsidRPr="008C315D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15D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4D2ABE" w:rsidRPr="008C315D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8C315D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8C315D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8C315D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8C315D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D2ABE" w:rsidRPr="008C315D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8C315D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Venta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et al. (2012)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 dx, BPF: CI DSM-IV BPD (≥5), BPFSC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Clinical: IN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106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(BPD: 14, PC: 92)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ind w:right="-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65.1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14.6 ± 1.4: 12-17 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25.5% 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Whalen et al. (2015)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ind w:right="-118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BPD </w:t>
            </w: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sxs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: BPFSC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Clinical: IN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42" w:type="dxa"/>
          </w:tcPr>
          <w:p w:rsidR="004D2ABE" w:rsidRDefault="004D2ABE" w:rsidP="004D2ABE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109 </w:t>
            </w:r>
          </w:p>
          <w:p w:rsidR="004D2ABE" w:rsidRDefault="004D2ABE" w:rsidP="004D2ABE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(MD: 38, ODD: 19, MDD: 14, ADHD: 14, BP: 10, </w:t>
            </w:r>
          </w:p>
          <w:p w:rsidR="004D2ABE" w:rsidRDefault="004D2ABE" w:rsidP="004D2ABE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DD: 6, </w:t>
            </w: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AdjD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: 5, ICD: 2, </w:t>
            </w:r>
          </w:p>
          <w:p w:rsidR="004D2ABE" w:rsidRDefault="004D2ABE" w:rsidP="004D2ABE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IED: 1, </w:t>
            </w:r>
            <w:r w:rsidRPr="00661B3D">
              <w:rPr>
                <w:rFonts w:ascii="Times New Roman" w:hAnsi="Times New Roman" w:cs="Times New Roman"/>
                <w:sz w:val="16"/>
                <w:szCs w:val="16"/>
              </w:rPr>
              <w:t>ASD: 1,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D2ABE" w:rsidRPr="00926BFF" w:rsidRDefault="004D2ABE" w:rsidP="004D2ABE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CD: 1, </w:t>
            </w: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DysD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: 1, PTSD: 1, SZ: 1)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ind w:right="-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46.7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14.3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34.9% 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Wood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Parmelee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Arents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(1992)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BPD dx, BPD </w:t>
            </w: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sxs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: DIB-R (&gt;7), DSM-III criteria-based dx 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Clinical: IN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ind w:right="-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54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(BPD: 24, PC: 30)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ind w:right="-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18.5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9.27: 6-12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61% 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2ABE" w:rsidRPr="008C315D" w:rsidTr="009C5018">
        <w:tc>
          <w:tcPr>
            <w:tcW w:w="1099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Zelkowitz</w:t>
            </w:r>
            <w:proofErr w:type="spellEnd"/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 et al. (2001)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BPD dx: C-DIB-R</w:t>
            </w:r>
          </w:p>
        </w:tc>
        <w:tc>
          <w:tcPr>
            <w:tcW w:w="113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4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4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 xml:space="preserve">86 </w:t>
            </w:r>
          </w:p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(BPD: 35, PC: 51)</w:t>
            </w:r>
          </w:p>
        </w:tc>
        <w:tc>
          <w:tcPr>
            <w:tcW w:w="991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BPD: 20%, PC: 7.8</w:t>
            </w: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9.8: 7-12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4D2ABE" w:rsidRPr="00926BFF" w:rsidRDefault="004D2ABE" w:rsidP="004D2A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BFF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</w:tr>
      <w:tr w:rsidR="004D2ABE" w:rsidRPr="008C315D" w:rsidTr="004D2ABE">
        <w:tc>
          <w:tcPr>
            <w:tcW w:w="4269" w:type="dxa"/>
            <w:gridSpan w:val="4"/>
          </w:tcPr>
          <w:p w:rsidR="004D2ABE" w:rsidRPr="00790D0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 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=28)</w:t>
            </w:r>
          </w:p>
        </w:tc>
        <w:tc>
          <w:tcPr>
            <w:tcW w:w="94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0D0F">
              <w:rPr>
                <w:rFonts w:ascii="Times New Roman" w:hAnsi="Times New Roman" w:cs="Times New Roman"/>
                <w:sz w:val="16"/>
                <w:szCs w:val="16"/>
              </w:rPr>
              <w:t>9686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(BPD: </w:t>
            </w:r>
            <w:r w:rsidRPr="00790D0F">
              <w:rPr>
                <w:rFonts w:ascii="Times New Roman" w:hAnsi="Times New Roman" w:cs="Times New Roman"/>
                <w:sz w:val="16"/>
                <w:szCs w:val="16"/>
              </w:rPr>
              <w:t>919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1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63.1%</w:t>
            </w:r>
          </w:p>
        </w:tc>
        <w:tc>
          <w:tcPr>
            <w:tcW w:w="992" w:type="dxa"/>
          </w:tcPr>
          <w:p w:rsidR="004D2ABE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13.8 </w:t>
            </w:r>
            <w:r w:rsidRPr="00790D0F">
              <w:rPr>
                <w:rFonts w:ascii="Times New Roman" w:hAnsi="Times New Roman" w:cs="Times New Roman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1.4 (9.4-14)</w:t>
            </w:r>
          </w:p>
        </w:tc>
        <w:tc>
          <w:tcPr>
            <w:tcW w:w="992" w:type="dxa"/>
          </w:tcPr>
          <w:p w:rsidR="004D2ABE" w:rsidRPr="00926BFF" w:rsidRDefault="004D2ABE" w:rsidP="004D2A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51.5%</w:t>
            </w:r>
          </w:p>
        </w:tc>
        <w:tc>
          <w:tcPr>
            <w:tcW w:w="6239" w:type="dxa"/>
            <w:gridSpan w:val="8"/>
          </w:tcPr>
          <w:p w:rsidR="004D2ABE" w:rsidRPr="00926BFF" w:rsidRDefault="004D2ABE" w:rsidP="004D2ABE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</w:tr>
    </w:tbl>
    <w:p w:rsidR="00790D0F" w:rsidRDefault="00790D0F" w:rsidP="00790D0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F1E89" w:rsidRPr="00790D0F" w:rsidRDefault="00FF1E89" w:rsidP="00FF1E89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FF1E89" w:rsidRPr="00790D0F" w:rsidSect="00225994">
      <w:pgSz w:w="16838" w:h="11906" w:orient="landscape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89"/>
    <w:rsid w:val="00225994"/>
    <w:rsid w:val="004D2ABE"/>
    <w:rsid w:val="00661CD1"/>
    <w:rsid w:val="00790D0F"/>
    <w:rsid w:val="009C5018"/>
    <w:rsid w:val="00C85C77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93BD7-A42B-4B53-813B-EE795F3B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E8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E8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E8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E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1E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1E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FF1E89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F1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1E89"/>
  </w:style>
  <w:style w:type="paragraph" w:styleId="Footer">
    <w:name w:val="footer"/>
    <w:basedOn w:val="Normal"/>
    <w:link w:val="FooterChar"/>
    <w:uiPriority w:val="99"/>
    <w:unhideWhenUsed/>
    <w:rsid w:val="00FF1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E89"/>
  </w:style>
  <w:style w:type="paragraph" w:styleId="NormalWeb">
    <w:name w:val="Normal (Web)"/>
    <w:basedOn w:val="Normal"/>
    <w:uiPriority w:val="99"/>
    <w:semiHidden/>
    <w:unhideWhenUsed/>
    <w:rsid w:val="00FF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F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E8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8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E89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E8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1E89"/>
    <w:rPr>
      <w:i/>
      <w:iCs/>
    </w:rPr>
  </w:style>
  <w:style w:type="character" w:styleId="Hyperlink">
    <w:name w:val="Hyperlink"/>
    <w:basedOn w:val="DefaultParagraphFont"/>
    <w:uiPriority w:val="99"/>
    <w:unhideWhenUsed/>
    <w:rsid w:val="00FF1E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1E89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FF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1E89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1E89"/>
    <w:pPr>
      <w:tabs>
        <w:tab w:val="right" w:leader="dot" w:pos="9016"/>
      </w:tabs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F1E89"/>
    <w:pPr>
      <w:tabs>
        <w:tab w:val="right" w:leader="dot" w:pos="9016"/>
      </w:tabs>
      <w:spacing w:after="100" w:line="360" w:lineRule="auto"/>
    </w:pPr>
  </w:style>
  <w:style w:type="numbering" w:customStyle="1" w:styleId="NoList1">
    <w:name w:val="No List1"/>
    <w:next w:val="NoList"/>
    <w:uiPriority w:val="99"/>
    <w:semiHidden/>
    <w:unhideWhenUsed/>
    <w:rsid w:val="00FF1E89"/>
  </w:style>
  <w:style w:type="table" w:customStyle="1" w:styleId="TableGrid1">
    <w:name w:val="Table Grid1"/>
    <w:basedOn w:val="TableNormal"/>
    <w:next w:val="TableGrid"/>
    <w:uiPriority w:val="39"/>
    <w:rsid w:val="00FF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FF1E89"/>
    <w:pPr>
      <w:spacing w:after="0" w:line="259" w:lineRule="auto"/>
      <w:jc w:val="center"/>
    </w:pPr>
    <w:rPr>
      <w:rFonts w:ascii="Calibri Light" w:hAnsi="Calibri Light" w:cs="Calibri Light"/>
      <w:noProof/>
      <w:sz w:val="26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F1E89"/>
  </w:style>
  <w:style w:type="character" w:customStyle="1" w:styleId="EndNoteBibliographyTitleChar">
    <w:name w:val="EndNote Bibliography Title Char"/>
    <w:basedOn w:val="NoSpacingChar"/>
    <w:link w:val="EndNoteBibliographyTitle"/>
    <w:rsid w:val="00FF1E89"/>
    <w:rPr>
      <w:rFonts w:ascii="Calibri Light" w:hAnsi="Calibri Light" w:cs="Calibri Light"/>
      <w:noProof/>
      <w:sz w:val="2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F1E89"/>
    <w:pPr>
      <w:spacing w:after="160" w:line="240" w:lineRule="auto"/>
    </w:pPr>
    <w:rPr>
      <w:rFonts w:ascii="Calibri Light" w:hAnsi="Calibri Light" w:cs="Calibri Light"/>
      <w:noProof/>
      <w:sz w:val="26"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FF1E89"/>
    <w:rPr>
      <w:rFonts w:ascii="Calibri Light" w:hAnsi="Calibri Light" w:cs="Calibri Light"/>
      <w:noProof/>
      <w:sz w:val="26"/>
      <w:lang w:val="en-US"/>
    </w:rPr>
  </w:style>
  <w:style w:type="paragraph" w:styleId="Revision">
    <w:name w:val="Revision"/>
    <w:hidden/>
    <w:uiPriority w:val="99"/>
    <w:semiHidden/>
    <w:rsid w:val="00FF1E89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FF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8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Steele</dc:creator>
  <cp:lastModifiedBy>Kayla Steele</cp:lastModifiedBy>
  <cp:revision>2</cp:revision>
  <dcterms:created xsi:type="dcterms:W3CDTF">2019-04-01T05:11:00Z</dcterms:created>
  <dcterms:modified xsi:type="dcterms:W3CDTF">2019-04-01T05:11:00Z</dcterms:modified>
</cp:coreProperties>
</file>