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44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"/>
        <w:gridCol w:w="850"/>
        <w:gridCol w:w="855"/>
        <w:gridCol w:w="858"/>
        <w:gridCol w:w="712"/>
        <w:gridCol w:w="851"/>
        <w:gridCol w:w="850"/>
        <w:gridCol w:w="709"/>
        <w:gridCol w:w="708"/>
        <w:gridCol w:w="709"/>
        <w:gridCol w:w="851"/>
        <w:gridCol w:w="708"/>
        <w:gridCol w:w="708"/>
        <w:gridCol w:w="567"/>
        <w:gridCol w:w="568"/>
        <w:gridCol w:w="566"/>
        <w:gridCol w:w="567"/>
        <w:gridCol w:w="665"/>
        <w:gridCol w:w="612"/>
        <w:gridCol w:w="710"/>
      </w:tblGrid>
      <w:tr w:rsidR="007F70A6" w:rsidRPr="00877534" w:rsidTr="006C3490">
        <w:trPr>
          <w:trHeight w:val="124"/>
        </w:trPr>
        <w:tc>
          <w:tcPr>
            <w:tcW w:w="9497" w:type="dxa"/>
            <w:gridSpan w:val="12"/>
            <w:noWrap/>
          </w:tcPr>
          <w:p w:rsidR="007F70A6" w:rsidRPr="00877534" w:rsidRDefault="007F70A6" w:rsidP="006C3490">
            <w:pPr>
              <w:ind w:right="-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Primary studies included in systematic reviews</w:t>
            </w:r>
          </w:p>
        </w:tc>
        <w:tc>
          <w:tcPr>
            <w:tcW w:w="4963" w:type="dxa"/>
            <w:gridSpan w:val="8"/>
          </w:tcPr>
          <w:p w:rsidR="007F70A6" w:rsidRPr="00877534" w:rsidRDefault="007F70A6" w:rsidP="006C3490">
            <w:pPr>
              <w:ind w:right="-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Systematic reviews</w:t>
            </w:r>
          </w:p>
        </w:tc>
      </w:tr>
      <w:tr w:rsidR="007F70A6" w:rsidRPr="00877534" w:rsidTr="006C3490">
        <w:trPr>
          <w:trHeight w:val="126"/>
        </w:trPr>
        <w:tc>
          <w:tcPr>
            <w:tcW w:w="3399" w:type="dxa"/>
            <w:gridSpan w:val="4"/>
            <w:noWrap/>
          </w:tcPr>
          <w:p w:rsidR="007F70A6" w:rsidRPr="00877534" w:rsidRDefault="007F70A6" w:rsidP="006C3490">
            <w:pPr>
              <w:ind w:right="-11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22" w:type="dxa"/>
            <w:gridSpan w:val="4"/>
            <w:noWrap/>
          </w:tcPr>
          <w:p w:rsidR="007F70A6" w:rsidRPr="00877534" w:rsidRDefault="007F70A6" w:rsidP="006C3490">
            <w:pPr>
              <w:ind w:right="-6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Parent participants</w:t>
            </w:r>
          </w:p>
        </w:tc>
        <w:tc>
          <w:tcPr>
            <w:tcW w:w="2976" w:type="dxa"/>
            <w:gridSpan w:val="4"/>
            <w:noWrap/>
          </w:tcPr>
          <w:p w:rsidR="007F70A6" w:rsidRPr="00877534" w:rsidRDefault="007F70A6" w:rsidP="006C3490">
            <w:pPr>
              <w:ind w:right="-10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Offspring participants</w:t>
            </w:r>
          </w:p>
        </w:tc>
        <w:tc>
          <w:tcPr>
            <w:tcW w:w="4963" w:type="dxa"/>
            <w:gridSpan w:val="8"/>
          </w:tcPr>
          <w:p w:rsidR="007F70A6" w:rsidRPr="00877534" w:rsidRDefault="007F70A6" w:rsidP="006C3490">
            <w:pPr>
              <w:ind w:right="-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ind w:right="-89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Author (date) Country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ind w:right="-60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construct: assessment (cut-point)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ind w:right="-107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Setting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ind w:right="-117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Design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 (clinical group/s: n)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ind w:right="-136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Gender </w:t>
            </w:r>
          </w:p>
          <w:p w:rsidR="007F70A6" w:rsidRPr="00877534" w:rsidRDefault="007F70A6" w:rsidP="006C3490">
            <w:pPr>
              <w:ind w:right="-13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 female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Age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 ± SD: range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60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Race </w:t>
            </w:r>
          </w:p>
          <w:p w:rsidR="007F70A6" w:rsidRPr="00877534" w:rsidRDefault="007F70A6" w:rsidP="006C3490">
            <w:pPr>
              <w:ind w:right="-6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 Caucasian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 (clinical group/s: n)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ind w:right="-141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Gender </w:t>
            </w:r>
          </w:p>
          <w:p w:rsidR="007F70A6" w:rsidRPr="00877534" w:rsidRDefault="007F70A6" w:rsidP="006C3490">
            <w:pPr>
              <w:ind w:right="-14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 female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67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Age </w:t>
            </w:r>
          </w:p>
          <w:p w:rsidR="007F70A6" w:rsidRPr="00877534" w:rsidRDefault="007F70A6" w:rsidP="006C3490">
            <w:pPr>
              <w:ind w:right="-67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 ± SD: range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Race </w:t>
            </w:r>
          </w:p>
          <w:p w:rsidR="007F70A6" w:rsidRPr="00877534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 Caucasian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Keinanen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(2012)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Laulik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(2013)</w:t>
            </w:r>
          </w:p>
        </w:tc>
        <w:tc>
          <w:tcPr>
            <w:tcW w:w="568" w:type="dxa"/>
          </w:tcPr>
          <w:p w:rsidR="007F70A6" w:rsidRDefault="007F70A6" w:rsidP="006C3490">
            <w:pPr>
              <w:ind w:left="-105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Petfield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6C3490">
            <w:pPr>
              <w:ind w:left="-105" w:right="-10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et al. (2015)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Eyden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(2016)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Stepp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(2016)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Winsper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(2016)</w:t>
            </w:r>
          </w:p>
        </w:tc>
        <w:tc>
          <w:tcPr>
            <w:tcW w:w="612" w:type="dxa"/>
          </w:tcPr>
          <w:p w:rsidR="007F70A6" w:rsidRPr="00877534" w:rsidRDefault="007F70A6" w:rsidP="006C3490">
            <w:pPr>
              <w:ind w:left="-64" w:right="-1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Boucher et al. (2017)</w:t>
            </w:r>
          </w:p>
        </w:tc>
        <w:tc>
          <w:tcPr>
            <w:tcW w:w="710" w:type="dxa"/>
            <w:noWrap/>
            <w:hideMark/>
          </w:tcPr>
          <w:p w:rsidR="007F70A6" w:rsidRDefault="007F70A6" w:rsidP="006C3490">
            <w:pPr>
              <w:ind w:right="-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Ibrahim </w:t>
            </w:r>
          </w:p>
          <w:p w:rsidR="007F70A6" w:rsidRPr="00877534" w:rsidRDefault="007F70A6" w:rsidP="006C3490">
            <w:pPr>
              <w:ind w:right="-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et al. (2018)</w:t>
            </w: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Abela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(2005)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Canada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 + BPD dx: SCID-II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102 (MDD: 88, MDD + BPD: 14)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86.3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40.3 ± 6.4: 27-43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84.3%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140 (MDD: 120, MDD + BPD: 20)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50.7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9.8 ± 2.3: 6-14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Barnow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(2006)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Germany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CC dx: SCID-II (≥4)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Longitudinal cohort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(SHIP)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196 (BPD: 16, DEP: 36, CC: 28, HC: 116)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40 ± 5.1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DEP: 40 ± 4.2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CC: 39.8 ± 4.5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39.6 ± 4.5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257 (BPD: 23, DEP: 47, CC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31, HC: 156)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BPD: 69.6%, DEP: 57.4%, CC: 61.3%, HC: 53.8%,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BPD: 15.5 ± 2.2, DEP: 15.5 ± 2.2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CC: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15.3 ± 2.2, HC: 15.1 ± 2.4: 11–18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Barnow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(2013) Germany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SCID-II (SR)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(GFS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247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44.5 ± 4.8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323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19.6 ± 2.4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Bertino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(2012)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MCMI-III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 + Sub-Clinical: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ind w:right="-103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 </w:t>
            </w:r>
          </w:p>
          <w:p w:rsidR="007F70A6" w:rsidRPr="00877534" w:rsidRDefault="007F70A6" w:rsidP="006C3490">
            <w:pPr>
              <w:ind w:right="-103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79.7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Child: 43.3%, A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dolescent: 34.5%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Child: 6.4 ± 2.5, Adolescent: 15.4 ± 1.6: 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-18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Blankley et al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DSM-IV-R criteria-based dx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IN +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14355 (BPD: 42, HC: 14313)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27.4 ± 6.2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15-43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14355 (BPD: 42, NCC: 14313)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"newborn infants"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Cheng (2010)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China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PDQ-4 (&gt;40 index; &lt;20 control), IPDE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2786 ((PD: 181 (167 reported in results), HC: 2605))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PD: 50%, HC: 50%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majority of sample 41-50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2786 </w:t>
            </w:r>
          </w:p>
          <w:p w:rsidR="007F70A6" w:rsidRPr="00877534" w:rsidRDefault="007F70A6" w:rsidP="006C3490">
            <w:pPr>
              <w:ind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((PD: 181 (167 reported in results), HC: 2605))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PD: 49.7%, HC: 57.2%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PD: 18-25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Conroy et al. (2010)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dx, PD+DEP dx: SCID-II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200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(PD: 41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, DEP: 39, PD+DEP: 67, HC: 53)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30.7 ± 6.6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16-44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54%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200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52%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Crandell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Patrick &amp; Hobson (2003)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SCID–NP, SCID-II (≥5), DSM-III-R criteria-based dx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8, HC: 12)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62.5% HC: 91.7%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(BPD: 8, HC: 12) 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25%,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HC: 41.7%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BPD: 65 ± 10; HC: 66 ± 7: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56-70 days</w:t>
            </w:r>
            <w:bookmarkStart w:id="0" w:name="_GoBack"/>
            <w:bookmarkEnd w:id="0"/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Crittenden &amp; Newman (2010)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DIB (&gt;8)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15, HC: 17)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15, HC: 17)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3-36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Delavenne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(2008)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France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SIDP-IV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17, HC: 17)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25-38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17, HC: 17)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3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DeMulder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(1995)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PDE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Radke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-Yarrow et al. 1992)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32.7  ± 4.3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23-45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85%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T3: 9.3 ± 1.1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D23B5">
        <w:trPr>
          <w:trHeight w:val="93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Elliot et al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ZAN-BPD (≥8)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13, HC: 13)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BPD: 24.2 ± 6.7,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28.3  ± 3.5; 17-40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13, HC: 13)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53.9%, HC: 38.5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D: 7.7 ± 4, HC: 6.5 ± 2.7: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3-14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Feldman et al (1995)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Canada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OPD dx: DIB-R (current cut point of 6 or past score of 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IN +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 (Paris et al., 1994a)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9, OPD: 14)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38  ± 6,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OPD: 37  ± 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21, OPD: 23)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47.6%, OPD: 52.2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12 ± 4,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OPD: 9.5 ± 4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Frankel-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Waldheter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BPDF: SCID-II (≥5), PAI-BOR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28, HC: 28)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28, HC: 28)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15.4 ± 1.2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years</w:t>
            </w:r>
          </w:p>
        </w:tc>
        <w:tc>
          <w:tcPr>
            <w:tcW w:w="708" w:type="dxa"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N/R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(7% “minority ethnic”, 4% Hispanic)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  <w:hideMark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Gratz et al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BPD-H, BPD-L: BEST (&gt;30)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101 (BPD-H: 23, BPD-L: 78)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BPD-H: 29 ± 6.4, BPD-L: 28.4 ±  4.9; 18-42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BPD-H: 26%,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BPD-L: 49%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101 (BPD-H: 23, BPD-L: 78)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BPD-H: 47.8%, BPD-L: 56.4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BPD-H: 17.4 ± 3.8,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BPD-L: 16.2 ± 3.5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Gunderson &amp;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Lyoo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(1997)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DIPD</w:t>
            </w:r>
          </w:p>
        </w:tc>
        <w:tc>
          <w:tcPr>
            <w:tcW w:w="855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IN</w:t>
            </w:r>
          </w:p>
        </w:tc>
        <w:tc>
          <w:tcPr>
            <w:tcW w:w="858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21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(BPD: 21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27.3 ± 4.7: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20-35 years</w:t>
            </w:r>
          </w:p>
        </w:tc>
        <w:tc>
          <w:tcPr>
            <w:tcW w:w="708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Guttman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&amp;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Laporte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(2000)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Canada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DIB-R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255D13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81 Families (BPD: 26, AN: 28, HC: 27)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81 ((BPD: 26 (27 in abstract), AN: 28, HC: 27))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BPD: 32, AN: 22, HC: 21;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16-40 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Guttman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&amp;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Laporte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(2002)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Canda</w:t>
            </w:r>
            <w:proofErr w:type="spellEnd"/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DSM-III-R criteria-based dx, DIB-R (≥ 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255D13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69 Families (BPD: 21, AN: 23, HC: 25)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58 ± 11.2,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AN: 51 ± 11.2,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HC;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50 ± 9.2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21, AN: 23, HC: 25)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BPD: 32 ± 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.2, AN: 22 ± 5.5, HC: 21 ± 4.9;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16-40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Hammen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USA (Australian sample) 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SCID-II (≥5), IPDE, DIB-R (≥8)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 (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MUSP)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ind w:right="-102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385 </w:t>
            </w:r>
          </w:p>
          <w:p w:rsidR="007F70A6" w:rsidRPr="00877534" w:rsidRDefault="007F70A6" w:rsidP="006C3490">
            <w:pPr>
              <w:ind w:right="-102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385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22-25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92.5%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Hans et al. (1999)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SADS-L, CAPPS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IN +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(Jeremy &amp; Hans, 1985)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(OD: 32, NDD: 37)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OP: 27.7 ± 3.9,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NDD: 25.7 ± 3.9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ind w:right="-114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0% </w:t>
            </w:r>
          </w:p>
          <w:p w:rsidR="007F70A6" w:rsidRPr="00877534" w:rsidRDefault="007F70A6" w:rsidP="006C3490">
            <w:pPr>
              <w:ind w:right="-114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(100% African-American)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(OD: 32, NDD: 37)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10: 8.9-11.8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15111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ind w:right="-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0% </w:t>
            </w:r>
          </w:p>
          <w:p w:rsidR="007F70A6" w:rsidRPr="00877534" w:rsidRDefault="007F70A6" w:rsidP="006C3490">
            <w:pPr>
              <w:ind w:right="-110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(100% African-American)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Harvey,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Stoeseel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&amp; Herbert (2011)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MCMI-III (≥75)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308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59.09%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Mothers: 31.5 ± 6.9, Fathers: 36.5 ± 7.4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Mothers: 62.6% Fathers: 67.5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184 (BPD: 184)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36-50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Herr et al (2008)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SCID-q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ongitudinal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cohort (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MUSP) 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815 (MDD: 189, DD: 83, MDD+DD: 82, HC: 461)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92%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815 (MDD/DD: 110)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15 years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92%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Hobson et al (2005)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SCID-NP, SCID-II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10, HC: 22)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32 ± 7, HC: 33 ± 4; 18-42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60%,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HC: 73%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(BPD: 10, H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C: 22)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BPD: 50%,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C: 50%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53  ± 2.8, HC: 55  ±  1.8; 47-58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weeks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Hobson et al (2009)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SCID-NP, SCID-II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13, DEP: 15, HC: 31)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31.5 ± 6.5,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DEP: 28 ± 6.8, HC: 31 ±  4.5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69.2%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DEP: 73%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HC: 77.4%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13, DEP: 15, HC: 31)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BPD: 46.2%,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EP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53.3%, NC: 41.9%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58.5 ±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2.7, DEP: 80 ± 4, NC: 62 ± 1.9;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12-18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Howard (1995)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MCMI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51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(PSA: 51)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28.6 ±  4.9: 19-45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16%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51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"infants"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Jellinek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(1991)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DSM-III-R dx criteria based dx (≥4)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"for 78 of the children, the patient was the mother”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100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(PD: 17, AD: 50, MD: 28, AD +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MD parent: 16)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38%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9.8 ± 1.9: 6-12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90% "non-minority"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Johnson et al (1999a)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DISC-I, PDQ, DSM-IV criteria based dx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639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639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47.7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T2: 22.3 ± 2.6: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18-28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90%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Johnson et al (1999b)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, BPD dx: CIC-SR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738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48%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T2: 22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90%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Johnson et al. (2000)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, PD dx: CIC-SR, DISC-I, PDQ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738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738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T4: 22.0 ±  2.7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: 18-28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90%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Johnson et al. (2001)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, BPD dx: CIC-SR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793 (T4: 717) 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793 (T4: 717)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49%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T4: 22.1 ± 2.7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91%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Johnson et al. (2006)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PDQ, SCID-II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593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T5: 33.1 ± 2.9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Johnson et al (2008)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PD dx: DISC-I, PDQ, SCID-II, SCID-IV NP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(CIC)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377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59.4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33.5 ± 2.7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91%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377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Kiel et al (2011)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BPD-H, BPD-L: BEST (&gt;30)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(BPD-H: 22, BPD-L: 77)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BPD-H: 28.6 ± 6.2,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BPD-L: 28.3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± 4.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9: 18-42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BPD-H: 22%,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BPD-L: 49%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(BPD-H: 22, BPD-L: 77)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BPD-H: 45.5%, BPD-L: 58.4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BPD-H: 17.2 ±  3.8,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BPD-L: 16.3 ±  3.7: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12-23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Liotti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&amp;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Pasquini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(2000)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Italy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SCID-II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IN +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212 (BPD: 66, PC: 146)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212 (BPD: 66, PC: 146)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70.75%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Majority (60.6%) &lt;29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Lyons-Ruth et al. (2013)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SCID-II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LI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41%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19.7: 18-23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73%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Macfie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and Swan (2009)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SCID-II (≥5), PAI (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cont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30, PC: 30)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30, PC: 30)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5.3 ± 0.9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4-7 years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88%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Macfie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BPDF: SCID-II (≥5), PAI (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cont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31, HC: 31)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31.7 ± 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32.8 ± 5.4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62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31, HC: 31)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53.2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4-7 years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92%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Marantz &amp; Coates (1991)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DIB (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cont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50%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(GID: 16,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NoGID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17)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8 years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50%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Newman et al (2007)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Australia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DSM-IV, DIB-R (≥8)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Clinical: OUT,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14, HC: 20)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28.6 ± 6.9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33.4 ± 4.4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14, HC: 20)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57.1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%; HC: 55%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15.6 ± 7.8,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16.1 ± 6.3: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3-36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Reinelt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Germany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SCID-II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Community: POP 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(GFS)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230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T0: 39.9 ± 4.5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295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T1: 19.4 ± 2.2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Schact et al (2013)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dx: SCID-II (≥5)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 (Conroy, 2010)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20, HC: 19)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34 ± 7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36.2 ± 6.4;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22-46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60%,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79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39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20, HC: 19)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60%,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HC: 42.11%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48.6 ± 5.6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53.1 ± 9.9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Schuppert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(2012)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Netherlands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PD dx, BPF: SCID-II (≥2), PDQ-4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“Referred to emotion regulation training”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145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145 (BPD: 96-101, HC: 44)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92%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14-19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Schuppert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Netherlands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BPT, 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PDT: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BPDSI-IV-ado, SCID-II, PDQ-4+ 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101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83.4%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101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96%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16.3 ± 1.15: 14-18.7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Stepp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(2013)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IPDE, SCID-NP, SCID-II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(OADP)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1392 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ind w:right="-111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50.4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816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58.8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17.2 ± 1.3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Stepp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(2014)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IPDE-BOR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ongitudinal cohort (PGS)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2212 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37.8 ± 8.6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21-83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2212 (N/R)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14-17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41.2%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Stepp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IPDE-B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(PGS)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113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113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16-18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33%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Weiss et al (1996)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Canada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OPD dx: DIB-R (≥8), CDIB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IN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23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9, OPD: 14)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44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21, OPD: 23)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BPD: 12, OPD: 9.5 years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Whalen et al.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BPD-H, BPD-L: BEST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ind w:right="-102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101 </w:t>
            </w:r>
          </w:p>
          <w:p w:rsidR="007F70A6" w:rsidRPr="00877534" w:rsidRDefault="007F70A6" w:rsidP="006C3490">
            <w:pPr>
              <w:ind w:right="-102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23)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28.6 ± 5.3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18-42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44% 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101 (BPD: 23)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54.5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16.5 ± 3.6;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12-23 months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White et al (2001)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 dx, 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 dx: SCID-II (&gt;5), IPDE, DIB-R (&gt;8)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Clinical: OUT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Case-control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87 </w:t>
            </w:r>
          </w:p>
          <w:p w:rsidR="007F70A6" w:rsidRPr="00877534" w:rsidRDefault="007F70A6" w:rsidP="006C3490">
            <w:pPr>
              <w:ind w:right="-113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(BPD: 17, HC: 25, MDD: 25, 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MDD: 20)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30 ± 3.1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MDD: 29.9 ± 3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ind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MDD: 29 ± 4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18.9 ± 6</w:t>
            </w:r>
          </w:p>
        </w:tc>
        <w:tc>
          <w:tcPr>
            <w:tcW w:w="709" w:type="dxa"/>
            <w:noWrap/>
            <w:hideMark/>
          </w:tcPr>
          <w:p w:rsidR="007F70A6" w:rsidRDefault="007F70A6" w:rsidP="006C3490">
            <w:pPr>
              <w:ind w:right="-11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BPD: 52%,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MDD: 60%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MDD: 55%,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NC: 60%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87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(BPD: 17, MDD: 25, </w:t>
            </w:r>
          </w:p>
          <w:p w:rsidR="007F70A6" w:rsidRDefault="007F70A6" w:rsidP="006C3490">
            <w:pPr>
              <w:ind w:right="-113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MDD: 20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HC: 25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PD: 47.1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%; MDD: 44%; BPD+MDD: 40%;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HC: 48%</w:t>
            </w:r>
          </w:p>
        </w:tc>
        <w:tc>
          <w:tcPr>
            <w:tcW w:w="851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BPD: 98 ± 5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MDD: 99 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4.1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, BPD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+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MDD: 101 ± 4.4, NC: 100 ± 4.6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months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Wilson &amp; Durbin (2012)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IPDE-S (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cont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Cross-sectional</w:t>
            </w:r>
          </w:p>
        </w:tc>
        <w:tc>
          <w:tcPr>
            <w:tcW w:w="712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145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(N/R)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Mothers: 37 ± 5,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Fathers: 39 ± 6: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23-57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Mothers: 73%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Fathers: 74% </w:t>
            </w:r>
          </w:p>
        </w:tc>
        <w:tc>
          <w:tcPr>
            <w:tcW w:w="708" w:type="dxa"/>
            <w:noWrap/>
            <w:hideMark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145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47%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4.5 ± 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3-6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Winsper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Zanarini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&amp; Wolke (2012)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dx, 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UK-CI-BPD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(ALSPAC)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45.9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11.7: 10.4-13.6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48.2%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Winsper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, Wolke &amp;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Lereya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(2015)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UK-CI-BPD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Longitudinal cohort (ALSPAC)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ind w:right="-106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51.40%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11-12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Wolke et al. (2012) 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UK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UK-CI-BPD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POP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ongitudinal cohort  (ALSPAC)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6050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46%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11.8 years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48%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Segoe UI Symbol" w:hAnsi="Segoe UI Symbol" w:cs="Segoe UI Symbol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  <w:noWrap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836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Zalewksi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 et al. (2014)</w:t>
            </w:r>
          </w:p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USA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BPD </w:t>
            </w:r>
            <w:proofErr w:type="spellStart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sxs</w:t>
            </w:r>
            <w:proofErr w:type="spellEnd"/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: IPDE-BOR</w:t>
            </w:r>
          </w:p>
        </w:tc>
        <w:tc>
          <w:tcPr>
            <w:tcW w:w="855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Community: HR</w:t>
            </w:r>
          </w:p>
        </w:tc>
        <w:tc>
          <w:tcPr>
            <w:tcW w:w="858" w:type="dxa"/>
            <w:noWrap/>
            <w:hideMark/>
          </w:tcPr>
          <w:p w:rsidR="007F70A6" w:rsidRPr="00877534" w:rsidRDefault="007F70A6" w:rsidP="006C3490">
            <w:pPr>
              <w:ind w:right="-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Longitudinal cohort (PGS</w:t>
            </w: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712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1598 (BPD: 128)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0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N/R</w:t>
            </w:r>
          </w:p>
        </w:tc>
        <w:tc>
          <w:tcPr>
            <w:tcW w:w="708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1598 (N/R)  </w:t>
            </w:r>
          </w:p>
        </w:tc>
        <w:tc>
          <w:tcPr>
            <w:tcW w:w="709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851" w:type="dxa"/>
            <w:noWrap/>
            <w:hideMark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>15-17 years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Times New Roman" w:hAnsi="Times New Roman" w:cs="Times New Roman"/>
                <w:sz w:val="12"/>
                <w:szCs w:val="12"/>
              </w:rPr>
              <w:t xml:space="preserve">41% </w:t>
            </w:r>
          </w:p>
        </w:tc>
        <w:tc>
          <w:tcPr>
            <w:tcW w:w="70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7534">
              <w:rPr>
                <w:rFonts w:ascii="Segoe UI Symbol" w:hAnsi="Segoe UI Symbol" w:cs="Segoe UI Symbol"/>
                <w:sz w:val="12"/>
                <w:szCs w:val="12"/>
              </w:rPr>
              <w:t>✓</w:t>
            </w:r>
          </w:p>
        </w:tc>
        <w:tc>
          <w:tcPr>
            <w:tcW w:w="567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5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dxa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70A6" w:rsidRPr="00877534" w:rsidTr="006C3490">
        <w:trPr>
          <w:trHeight w:val="300"/>
        </w:trPr>
        <w:tc>
          <w:tcPr>
            <w:tcW w:w="3399" w:type="dxa"/>
            <w:gridSpan w:val="4"/>
            <w:noWrap/>
          </w:tcPr>
          <w:p w:rsidR="007F70A6" w:rsidRPr="007F70A6" w:rsidRDefault="007F70A6" w:rsidP="006C3490">
            <w:pPr>
              <w:ind w:right="-14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Total (</w:t>
            </w:r>
            <w:r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n =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54)</w:t>
            </w:r>
          </w:p>
        </w:tc>
        <w:tc>
          <w:tcPr>
            <w:tcW w:w="712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49079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(BPD: 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790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) </w:t>
            </w:r>
          </w:p>
        </w:tc>
        <w:tc>
          <w:tcPr>
            <w:tcW w:w="851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94.5%</w:t>
            </w:r>
          </w:p>
        </w:tc>
        <w:tc>
          <w:tcPr>
            <w:tcW w:w="850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34.2 ± 5.4 (22.8-47.9)</w:t>
            </w:r>
          </w:p>
        </w:tc>
        <w:tc>
          <w:tcPr>
            <w:tcW w:w="709" w:type="dxa"/>
            <w:noWrap/>
          </w:tcPr>
          <w:p w:rsidR="007F70A6" w:rsidRPr="00877534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61.15%</w:t>
            </w:r>
          </w:p>
        </w:tc>
        <w:tc>
          <w:tcPr>
            <w:tcW w:w="708" w:type="dxa"/>
            <w:noWrap/>
          </w:tcPr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Infants: 14,686 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Child: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1,801</w:t>
            </w:r>
          </w:p>
          <w:p w:rsidR="007F70A6" w:rsidRDefault="007F70A6" w:rsidP="006C34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Adolescent: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27,856</w:t>
            </w:r>
            <w:r w:rsidR="00320B9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7F70A6" w:rsidRPr="00877534" w:rsidRDefault="007F70A6" w:rsidP="00320B9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Adult: </w:t>
            </w:r>
            <w:r w:rsidR="00320B97">
              <w:rPr>
                <w:rFonts w:ascii="Times New Roman" w:hAnsi="Times New Roman" w:cs="Times New Roman"/>
                <w:sz w:val="12"/>
                <w:szCs w:val="12"/>
              </w:rPr>
              <w:t xml:space="preserve">4,620 </w:t>
            </w:r>
          </w:p>
        </w:tc>
        <w:tc>
          <w:tcPr>
            <w:tcW w:w="709" w:type="dxa"/>
            <w:noWrap/>
          </w:tcPr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Infants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52.6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Child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41.9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Adolescent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69.2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7F70A6" w:rsidRPr="00877534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Adult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320B97">
              <w:rPr>
                <w:rFonts w:ascii="Times New Roman" w:hAnsi="Times New Roman" w:cs="Times New Roman"/>
                <w:sz w:val="12"/>
                <w:szCs w:val="12"/>
              </w:rPr>
              <w:t>66.8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851" w:type="dxa"/>
            <w:noWrap/>
          </w:tcPr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Infants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10 ± N/R (10-33) months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Child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6.9 ± 1.4 (2.8-5.8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) years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Adolescent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14.7 ± 1.6 (13-16.9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) years</w:t>
            </w:r>
          </w:p>
          <w:p w:rsidR="007F70A6" w:rsidRPr="00877534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Adult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="00320B97">
              <w:rPr>
                <w:rFonts w:ascii="Times New Roman" w:hAnsi="Times New Roman" w:cs="Times New Roman"/>
                <w:sz w:val="12"/>
                <w:szCs w:val="12"/>
              </w:rPr>
              <w:t>.5 ± 3 (18.3-31.3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) years</w:t>
            </w:r>
          </w:p>
        </w:tc>
        <w:tc>
          <w:tcPr>
            <w:tcW w:w="708" w:type="dxa"/>
          </w:tcPr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Infants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 N/R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Child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80%</w:t>
            </w:r>
          </w:p>
          <w:p w:rsidR="007F70A6" w:rsidRPr="007F70A6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Adolescent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6C3490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  <w:p w:rsidR="007F70A6" w:rsidRPr="00877534" w:rsidRDefault="007F70A6" w:rsidP="007F70A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Adult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 w:rsidR="00320B97">
              <w:rPr>
                <w:rFonts w:ascii="Times New Roman" w:hAnsi="Times New Roman" w:cs="Times New Roman"/>
                <w:sz w:val="12"/>
                <w:szCs w:val="12"/>
              </w:rPr>
              <w:t>87.8</w:t>
            </w:r>
            <w:r w:rsidRPr="007F70A6"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4963" w:type="dxa"/>
            <w:gridSpan w:val="8"/>
          </w:tcPr>
          <w:p w:rsidR="007F70A6" w:rsidRPr="00877534" w:rsidRDefault="007F70A6" w:rsidP="006C349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F70A6" w:rsidRDefault="007F70A6" w:rsidP="007F70A6">
      <w:pPr>
        <w:tabs>
          <w:tab w:val="left" w:pos="9990"/>
        </w:tabs>
        <w:spacing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FF1E89" w:rsidRPr="007F70A6" w:rsidRDefault="00FF1E89" w:rsidP="007F70A6"/>
    <w:sectPr w:rsidR="00FF1E89" w:rsidRPr="007F70A6" w:rsidSect="006D23B5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89"/>
    <w:rsid w:val="002C677E"/>
    <w:rsid w:val="00320B97"/>
    <w:rsid w:val="00661CD1"/>
    <w:rsid w:val="006C3490"/>
    <w:rsid w:val="006D23B5"/>
    <w:rsid w:val="00790D0F"/>
    <w:rsid w:val="007F70A6"/>
    <w:rsid w:val="00C85C77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FF1E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E89"/>
  </w:style>
  <w:style w:type="paragraph" w:styleId="Footer">
    <w:name w:val="footer"/>
    <w:basedOn w:val="Normal"/>
    <w:link w:val="FooterChar"/>
    <w:uiPriority w:val="99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89"/>
  </w:style>
  <w:style w:type="paragraph" w:styleId="NormalWeb">
    <w:name w:val="Normal (Web)"/>
    <w:basedOn w:val="Normal"/>
    <w:uiPriority w:val="99"/>
    <w:semiHidden/>
    <w:unhideWhenUsed/>
    <w:rsid w:val="00F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8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8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1E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E8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E8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360" w:lineRule="auto"/>
    </w:pPr>
  </w:style>
  <w:style w:type="numbering" w:customStyle="1" w:styleId="NoList1">
    <w:name w:val="No List1"/>
    <w:next w:val="NoList"/>
    <w:uiPriority w:val="99"/>
    <w:semiHidden/>
    <w:unhideWhenUsed/>
    <w:rsid w:val="00FF1E89"/>
  </w:style>
  <w:style w:type="table" w:customStyle="1" w:styleId="TableGrid1">
    <w:name w:val="Table Grid1"/>
    <w:basedOn w:val="TableNormal"/>
    <w:next w:val="TableGrid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F1E89"/>
    <w:pPr>
      <w:spacing w:after="0" w:line="259" w:lineRule="auto"/>
      <w:jc w:val="center"/>
    </w:pPr>
    <w:rPr>
      <w:rFonts w:ascii="Calibri Light" w:hAnsi="Calibri Light" w:cs="Calibri Light"/>
      <w:noProof/>
      <w:sz w:val="2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E89"/>
  </w:style>
  <w:style w:type="character" w:customStyle="1" w:styleId="EndNoteBibliographyTitleChar">
    <w:name w:val="EndNote Bibliography Title Char"/>
    <w:basedOn w:val="NoSpacingChar"/>
    <w:link w:val="EndNoteBibliographyTitle"/>
    <w:rsid w:val="00FF1E89"/>
    <w:rPr>
      <w:rFonts w:ascii="Calibri Light" w:hAnsi="Calibri Light" w:cs="Calibri Light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1E89"/>
    <w:pPr>
      <w:spacing w:after="160" w:line="240" w:lineRule="auto"/>
    </w:pPr>
    <w:rPr>
      <w:rFonts w:ascii="Calibri Light" w:hAnsi="Calibri Light" w:cs="Calibri Light"/>
      <w:noProof/>
      <w:sz w:val="26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FF1E89"/>
    <w:rPr>
      <w:rFonts w:ascii="Calibri Light" w:hAnsi="Calibri Light" w:cs="Calibri Light"/>
      <w:noProof/>
      <w:sz w:val="26"/>
      <w:lang w:val="en-US"/>
    </w:rPr>
  </w:style>
  <w:style w:type="paragraph" w:styleId="Revision">
    <w:name w:val="Revision"/>
    <w:hidden/>
    <w:uiPriority w:val="99"/>
    <w:semiHidden/>
    <w:rsid w:val="00FF1E8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F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FF1E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E89"/>
  </w:style>
  <w:style w:type="paragraph" w:styleId="Footer">
    <w:name w:val="footer"/>
    <w:basedOn w:val="Normal"/>
    <w:link w:val="FooterChar"/>
    <w:uiPriority w:val="99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89"/>
  </w:style>
  <w:style w:type="paragraph" w:styleId="NormalWeb">
    <w:name w:val="Normal (Web)"/>
    <w:basedOn w:val="Normal"/>
    <w:uiPriority w:val="99"/>
    <w:semiHidden/>
    <w:unhideWhenUsed/>
    <w:rsid w:val="00F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8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8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1E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E8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E8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360" w:lineRule="auto"/>
    </w:pPr>
  </w:style>
  <w:style w:type="numbering" w:customStyle="1" w:styleId="NoList1">
    <w:name w:val="No List1"/>
    <w:next w:val="NoList"/>
    <w:uiPriority w:val="99"/>
    <w:semiHidden/>
    <w:unhideWhenUsed/>
    <w:rsid w:val="00FF1E89"/>
  </w:style>
  <w:style w:type="table" w:customStyle="1" w:styleId="TableGrid1">
    <w:name w:val="Table Grid1"/>
    <w:basedOn w:val="TableNormal"/>
    <w:next w:val="TableGrid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F1E89"/>
    <w:pPr>
      <w:spacing w:after="0" w:line="259" w:lineRule="auto"/>
      <w:jc w:val="center"/>
    </w:pPr>
    <w:rPr>
      <w:rFonts w:ascii="Calibri Light" w:hAnsi="Calibri Light" w:cs="Calibri Light"/>
      <w:noProof/>
      <w:sz w:val="2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E89"/>
  </w:style>
  <w:style w:type="character" w:customStyle="1" w:styleId="EndNoteBibliographyTitleChar">
    <w:name w:val="EndNote Bibliography Title Char"/>
    <w:basedOn w:val="NoSpacingChar"/>
    <w:link w:val="EndNoteBibliographyTitle"/>
    <w:rsid w:val="00FF1E89"/>
    <w:rPr>
      <w:rFonts w:ascii="Calibri Light" w:hAnsi="Calibri Light" w:cs="Calibri Light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1E89"/>
    <w:pPr>
      <w:spacing w:after="160" w:line="240" w:lineRule="auto"/>
    </w:pPr>
    <w:rPr>
      <w:rFonts w:ascii="Calibri Light" w:hAnsi="Calibri Light" w:cs="Calibri Light"/>
      <w:noProof/>
      <w:sz w:val="26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FF1E89"/>
    <w:rPr>
      <w:rFonts w:ascii="Calibri Light" w:hAnsi="Calibri Light" w:cs="Calibri Light"/>
      <w:noProof/>
      <w:sz w:val="26"/>
      <w:lang w:val="en-US"/>
    </w:rPr>
  </w:style>
  <w:style w:type="paragraph" w:styleId="Revision">
    <w:name w:val="Revision"/>
    <w:hidden/>
    <w:uiPriority w:val="99"/>
    <w:semiHidden/>
    <w:rsid w:val="00FF1E8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F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Steele</dc:creator>
  <cp:lastModifiedBy>Kayla Steele</cp:lastModifiedBy>
  <cp:revision>2</cp:revision>
  <dcterms:created xsi:type="dcterms:W3CDTF">2019-03-22T03:16:00Z</dcterms:created>
  <dcterms:modified xsi:type="dcterms:W3CDTF">2019-03-22T03:16:00Z</dcterms:modified>
</cp:coreProperties>
</file>