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44" w:rsidRPr="00FB2F07" w:rsidRDefault="00370444" w:rsidP="00962A96">
      <w:pPr>
        <w:pStyle w:val="NoSpacing"/>
        <w:spacing w:line="480" w:lineRule="auto"/>
        <w:rPr>
          <w:b/>
          <w:sz w:val="36"/>
          <w:szCs w:val="36"/>
        </w:rPr>
      </w:pPr>
      <w:r w:rsidRPr="00FB2F07">
        <w:rPr>
          <w:b/>
          <w:sz w:val="36"/>
          <w:szCs w:val="36"/>
        </w:rPr>
        <w:t>Supplementary Materials</w:t>
      </w:r>
    </w:p>
    <w:p w:rsidR="00230C83" w:rsidRPr="00230C83" w:rsidRDefault="00230C83" w:rsidP="0006518F">
      <w:pPr>
        <w:pStyle w:val="NoSpacing"/>
        <w:spacing w:line="480" w:lineRule="auto"/>
        <w:rPr>
          <w:b/>
          <w:bCs/>
          <w:sz w:val="36"/>
          <w:szCs w:val="36"/>
        </w:rPr>
      </w:pPr>
      <w:r w:rsidRPr="00230C83">
        <w:rPr>
          <w:b/>
          <w:bCs/>
          <w:sz w:val="36"/>
          <w:szCs w:val="36"/>
        </w:rPr>
        <w:t>Additional Anal</w:t>
      </w:r>
      <w:bookmarkStart w:id="0" w:name="_GoBack"/>
      <w:bookmarkEnd w:id="0"/>
      <w:r w:rsidRPr="00230C83">
        <w:rPr>
          <w:b/>
          <w:bCs/>
          <w:sz w:val="36"/>
          <w:szCs w:val="36"/>
        </w:rPr>
        <w:t>yses</w:t>
      </w:r>
    </w:p>
    <w:p w:rsidR="002B612E" w:rsidRPr="002B612E" w:rsidRDefault="0006518F" w:rsidP="0006518F">
      <w:pPr>
        <w:pStyle w:val="NoSpacing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Analyses </w:t>
      </w:r>
      <w:r w:rsidR="002B612E" w:rsidRPr="002B612E">
        <w:rPr>
          <w:b/>
          <w:bCs/>
          <w:sz w:val="32"/>
          <w:szCs w:val="32"/>
        </w:rPr>
        <w:t xml:space="preserve">of participants </w:t>
      </w:r>
      <w:r>
        <w:rPr>
          <w:b/>
          <w:bCs/>
          <w:sz w:val="32"/>
          <w:szCs w:val="32"/>
        </w:rPr>
        <w:t>excluded from</w:t>
      </w:r>
      <w:r w:rsidR="002B612E" w:rsidRPr="002B612E">
        <w:rPr>
          <w:b/>
          <w:bCs/>
          <w:sz w:val="32"/>
          <w:szCs w:val="32"/>
        </w:rPr>
        <w:t xml:space="preserve"> Condition 2</w:t>
      </w:r>
    </w:p>
    <w:p w:rsidR="00370444" w:rsidRDefault="00370444" w:rsidP="00424212">
      <w:pPr>
        <w:pStyle w:val="NoSpacing"/>
        <w:spacing w:line="480" w:lineRule="auto"/>
        <w:ind w:firstLine="720"/>
      </w:pPr>
      <w:r>
        <w:t>We assessed whether those excluded from the primary analyses differed in demographic, clinical characteristics or in performance on Condition 1. While Study 1 HC did not show any differences, excluded patients were more likely to be female (11 females versus 4 males). Excluded patients also tended to be slightly slower in requesting beads, and more anxious but these differences did not survive correction for multiple comparisons. Excluded participants in</w:t>
      </w:r>
      <w:r w:rsidR="00ED0217">
        <w:t xml:space="preserve"> the</w:t>
      </w:r>
      <w:r>
        <w:t xml:space="preserve"> Study 2 </w:t>
      </w:r>
      <w:r w:rsidR="00ED0217">
        <w:t xml:space="preserve">sample </w:t>
      </w:r>
      <w:r>
        <w:t>had lower verbal IQ (</w:t>
      </w:r>
      <w:proofErr w:type="gramStart"/>
      <w:r w:rsidRPr="00823D0B">
        <w:rPr>
          <w:i/>
        </w:rPr>
        <w:t>t</w:t>
      </w:r>
      <w:r>
        <w:t>(</w:t>
      </w:r>
      <w:proofErr w:type="gramEnd"/>
      <w:r>
        <w:t>123)=2.78,</w:t>
      </w:r>
      <w:r w:rsidRPr="00823D0B">
        <w:rPr>
          <w:i/>
        </w:rPr>
        <w:t xml:space="preserve"> p</w:t>
      </w:r>
      <w:r>
        <w:t>&lt;.001) and impulsivity (t(69)=2.12</w:t>
      </w:r>
      <w:r w:rsidRPr="00935906">
        <w:t>, p</w:t>
      </w:r>
      <w:r>
        <w:t>=.034). Though they did not differ in beads requested, they were slower to request them (</w:t>
      </w:r>
      <w:proofErr w:type="gramStart"/>
      <w:r w:rsidRPr="00823D0B">
        <w:rPr>
          <w:i/>
        </w:rPr>
        <w:t>t</w:t>
      </w:r>
      <w:r>
        <w:t>(</w:t>
      </w:r>
      <w:proofErr w:type="gramEnd"/>
      <w:r>
        <w:t>123)=2.21,</w:t>
      </w:r>
      <w:r w:rsidRPr="00823D0B">
        <w:rPr>
          <w:i/>
        </w:rPr>
        <w:t xml:space="preserve"> p</w:t>
      </w:r>
      <w:r>
        <w:t>=.029) and less accurate in choosing jar x (</w:t>
      </w:r>
      <w:r w:rsidRPr="00246547">
        <w:t>χ</w:t>
      </w:r>
      <w:r w:rsidRPr="00246547">
        <w:rPr>
          <w:vertAlign w:val="superscript"/>
        </w:rPr>
        <w:t>2</w:t>
      </w:r>
      <w:r w:rsidRPr="00246547">
        <w:t>(1)=</w:t>
      </w:r>
      <w:r>
        <w:t>13.26</w:t>
      </w:r>
      <w:r w:rsidRPr="00246547">
        <w:t>, p</w:t>
      </w:r>
      <w:r>
        <w:t>&lt;.001</w:t>
      </w:r>
      <w:r w:rsidRPr="00246547">
        <w:t>; 9</w:t>
      </w:r>
      <w:r>
        <w:t>9.07</w:t>
      </w:r>
      <w:r w:rsidRPr="00246547">
        <w:t>% vs. 8</w:t>
      </w:r>
      <w:r>
        <w:t>2.35</w:t>
      </w:r>
      <w:r w:rsidRPr="00246547">
        <w:t xml:space="preserve">%, </w:t>
      </w:r>
      <w:r>
        <w:t xml:space="preserve"> for retained versus excluded participants, </w:t>
      </w:r>
      <w:r w:rsidRPr="00246547">
        <w:t>respectively</w:t>
      </w:r>
      <w:r>
        <w:t xml:space="preserve">). The differences in Condition 1 performance remained significant after </w:t>
      </w:r>
      <w:proofErr w:type="spellStart"/>
      <w:r>
        <w:t>Bonferroni</w:t>
      </w:r>
      <w:proofErr w:type="spellEnd"/>
      <w:r>
        <w:t xml:space="preserve"> correction for 15 comparisons.</w:t>
      </w:r>
      <w:r w:rsidR="00ED0217">
        <w:t xml:space="preserve"> </w:t>
      </w:r>
      <w:r w:rsidR="00424212">
        <w:t xml:space="preserve">S1 </w:t>
      </w:r>
      <w:r w:rsidR="00ED0217">
        <w:t>Table shows the patient and control sample characteristics for the sample retained in Condition 2.</w:t>
      </w:r>
      <w:r>
        <w:t xml:space="preserve"> </w:t>
      </w:r>
    </w:p>
    <w:p w:rsidR="00370444" w:rsidRPr="002B612E" w:rsidRDefault="00370444" w:rsidP="002B612E">
      <w:pPr>
        <w:pStyle w:val="NoSpacing"/>
        <w:spacing w:line="480" w:lineRule="auto"/>
        <w:rPr>
          <w:b/>
          <w:bCs/>
          <w:sz w:val="32"/>
          <w:szCs w:val="32"/>
        </w:rPr>
      </w:pPr>
      <w:r w:rsidRPr="002B612E">
        <w:rPr>
          <w:b/>
          <w:bCs/>
          <w:sz w:val="32"/>
          <w:szCs w:val="32"/>
        </w:rPr>
        <w:t xml:space="preserve">Analyses </w:t>
      </w:r>
      <w:r w:rsidR="002B612E" w:rsidRPr="002B612E">
        <w:rPr>
          <w:b/>
          <w:bCs/>
          <w:sz w:val="32"/>
          <w:szCs w:val="32"/>
        </w:rPr>
        <w:t>of Condition 2 of all participants</w:t>
      </w:r>
    </w:p>
    <w:p w:rsidR="00370444" w:rsidRDefault="00370444" w:rsidP="002B612E">
      <w:pPr>
        <w:pStyle w:val="NoSpacing"/>
        <w:spacing w:line="480" w:lineRule="auto"/>
        <w:ind w:firstLine="720"/>
      </w:pPr>
      <w:r>
        <w:t xml:space="preserve">For </w:t>
      </w:r>
      <w:r w:rsidR="002B612E">
        <w:t xml:space="preserve">the </w:t>
      </w:r>
      <w:r>
        <w:t xml:space="preserve">Study 1 </w:t>
      </w:r>
      <w:r w:rsidR="002B612E">
        <w:t xml:space="preserve">sample </w:t>
      </w:r>
      <w:r>
        <w:t xml:space="preserve">an ANOVA assessing mean probabilities estimated for each draw of condition 2 by group and jar indicated there was a significant interaction, such that draws departed more from the Bayesian norm for patients compared to controls and this varied as the draws progressed F(19,1862)=2.41, p&lt;.001. Patients had lower estimates compared to controls for jar X, specifically from draw 11 onwards, </w:t>
      </w:r>
      <w:proofErr w:type="gramStart"/>
      <w:r>
        <w:t>F(</w:t>
      </w:r>
      <w:proofErr w:type="gramEnd"/>
      <w:r>
        <w:t xml:space="preserve">19, 1862)=2.35, p&lt;.001. Additionally, they had higher estimates compared to controls for the alternate jar, again this was more pronounced from </w:t>
      </w:r>
      <w:r>
        <w:lastRenderedPageBreak/>
        <w:t>draw 11</w:t>
      </w:r>
      <w:r w:rsidR="002B612E">
        <w:t>.</w:t>
      </w:r>
      <w:r w:rsidR="00962A96">
        <w:t xml:space="preserve"> </w:t>
      </w:r>
      <w:r>
        <w:t xml:space="preserve">For </w:t>
      </w:r>
      <w:r w:rsidR="002B612E">
        <w:t xml:space="preserve">the student sample of </w:t>
      </w:r>
      <w:r>
        <w:t xml:space="preserve">Study 2 a similar analysis indicated no significant effects for low- versus high-OCI participants </w:t>
      </w:r>
      <w:r w:rsidRPr="00E82AD9">
        <w:rPr>
          <w:i/>
        </w:rPr>
        <w:t>F</w:t>
      </w:r>
      <w:r>
        <w:t xml:space="preserve">(19,2337)=.48, </w:t>
      </w:r>
      <w:r w:rsidRPr="00E82AD9">
        <w:rPr>
          <w:i/>
        </w:rPr>
        <w:t>p</w:t>
      </w:r>
      <w:r>
        <w:t>=.97.</w:t>
      </w:r>
    </w:p>
    <w:p w:rsidR="00ED0217" w:rsidRPr="00A51C08" w:rsidRDefault="00A51C08" w:rsidP="00A51C08">
      <w:pPr>
        <w:rPr>
          <w:rFonts w:cs="Times New Roman"/>
          <w:szCs w:val="24"/>
        </w:rPr>
      </w:pPr>
      <w:r>
        <w:br w:type="page"/>
      </w:r>
    </w:p>
    <w:p w:rsidR="00ED0217" w:rsidRPr="000E724C" w:rsidRDefault="004B7A28" w:rsidP="00ED0217">
      <w:pPr>
        <w:pStyle w:val="NoSpacing"/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S1 </w:t>
      </w:r>
      <w:r w:rsidR="00ED0217" w:rsidRPr="000E724C">
        <w:rPr>
          <w:b/>
          <w:bCs/>
        </w:rPr>
        <w:t>T</w:t>
      </w:r>
      <w:r>
        <w:rPr>
          <w:b/>
          <w:bCs/>
        </w:rPr>
        <w:t>able</w:t>
      </w:r>
      <w:r w:rsidR="00ED0217" w:rsidRPr="000E724C">
        <w:rPr>
          <w:b/>
          <w:bCs/>
        </w:rPr>
        <w:t>. Means and standard deviations of control and OCD patient group characteristics</w:t>
      </w:r>
      <w:r w:rsidR="00ED0217">
        <w:rPr>
          <w:b/>
          <w:bCs/>
        </w:rPr>
        <w:t xml:space="preserve"> of patients included in Condition 2 analyses</w:t>
      </w:r>
      <w:r w:rsidR="00230C83">
        <w:rPr>
          <w:b/>
          <w:bCs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434"/>
        <w:gridCol w:w="2123"/>
        <w:gridCol w:w="2124"/>
        <w:gridCol w:w="992"/>
        <w:gridCol w:w="992"/>
      </w:tblGrid>
      <w:tr w:rsidR="00ED0217" w:rsidRPr="00BF5B08" w:rsidTr="000E724C">
        <w:tc>
          <w:tcPr>
            <w:tcW w:w="1549" w:type="dxa"/>
            <w:tcBorders>
              <w:top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56B4D"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Controls</w:t>
            </w:r>
          </w:p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(n=40)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OCD</w:t>
            </w:r>
          </w:p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(n=34)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</w:tr>
      <w:tr w:rsidR="00ED0217" w:rsidRPr="00BF5B08" w:rsidTr="000E724C">
        <w:tc>
          <w:tcPr>
            <w:tcW w:w="1549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  <w:iCs/>
              </w:rPr>
            </w:pPr>
            <w:r w:rsidRPr="00BF5B08">
              <w:rPr>
                <w:bCs/>
                <w:iCs/>
              </w:rPr>
              <w:t>Characteristic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t>Measure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M (SD)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M (SD)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  <w:i/>
                <w:iCs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  <w:i/>
                <w:iCs/>
              </w:rPr>
              <w:t>p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Gender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t>M:F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700A4E">
              <w:rPr>
                <w:bCs/>
              </w:rPr>
              <w:t>:2</w:t>
            </w:r>
            <w:r>
              <w:rPr>
                <w:bCs/>
              </w:rPr>
              <w:t>0</w:t>
            </w: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23:12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Age</w:t>
            </w:r>
          </w:p>
        </w:tc>
        <w:tc>
          <w:tcPr>
            <w:tcW w:w="1434" w:type="dxa"/>
            <w:vAlign w:val="bottom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t>Years</w:t>
            </w:r>
          </w:p>
        </w:tc>
        <w:tc>
          <w:tcPr>
            <w:tcW w:w="2123" w:type="dxa"/>
            <w:vAlign w:val="bottom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38.473 (14.83)</w:t>
            </w: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40.14 (15.12)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0.38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0.71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Verbal IQ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NART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115.74 (7.70)</w:t>
            </w: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115.07 (6.37)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0.34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0.74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Obsessions &amp; Compulsion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YBOCS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19.80 (5.02)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Depression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MADRS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6.17 (3.12)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Impulsivity- attention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BIS- attention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14.55 (3.38)</w:t>
            </w: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17.38 (4.66)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3.10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&lt;0.002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Impulsivity – motor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BIS - motor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22.15 (3.68)</w:t>
            </w: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20.29 (5.21)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1.72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0.09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Impulsivity – non planning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BIS – non planning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24.25 (4.52)</w:t>
            </w: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22.59 (6.08)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1.77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0.08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State Anxiety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STAI-S</w:t>
            </w:r>
          </w:p>
        </w:tc>
        <w:tc>
          <w:tcPr>
            <w:tcW w:w="2123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32.03 (9.86)</w:t>
            </w:r>
          </w:p>
        </w:tc>
        <w:tc>
          <w:tcPr>
            <w:tcW w:w="2124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41.34 (12.42)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3.56</w:t>
            </w:r>
          </w:p>
        </w:tc>
        <w:tc>
          <w:tcPr>
            <w:tcW w:w="992" w:type="dxa"/>
          </w:tcPr>
          <w:p w:rsidR="00ED0217" w:rsidRPr="00700A4E" w:rsidRDefault="00ED0217" w:rsidP="000E724C">
            <w:pPr>
              <w:pStyle w:val="NoSpacing"/>
              <w:spacing w:line="360" w:lineRule="auto"/>
              <w:rPr>
                <w:bCs/>
              </w:rPr>
            </w:pPr>
            <w:r w:rsidRPr="00700A4E">
              <w:rPr>
                <w:bCs/>
              </w:rPr>
              <w:t>&lt;0.001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Trait Anxiety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STAI-T</w:t>
            </w:r>
          </w:p>
        </w:tc>
        <w:tc>
          <w:tcPr>
            <w:tcW w:w="2123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>
              <w:t>36.95 (10.11)</w:t>
            </w:r>
          </w:p>
        </w:tc>
        <w:tc>
          <w:tcPr>
            <w:tcW w:w="2124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>
              <w:t>55.11 (11.54)</w:t>
            </w:r>
          </w:p>
        </w:tc>
        <w:tc>
          <w:tcPr>
            <w:tcW w:w="992" w:type="dxa"/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>
              <w:t>5.65</w:t>
            </w:r>
          </w:p>
        </w:tc>
        <w:tc>
          <w:tcPr>
            <w:tcW w:w="992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&lt;0.001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</w:t>
            </w:r>
            <w:r w:rsidRPr="00BF5B08">
              <w:rPr>
                <w:bCs/>
              </w:rPr>
              <w:t>U</w:t>
            </w:r>
            <w:r>
              <w:rPr>
                <w:bCs/>
              </w:rPr>
              <w:t>27</w:t>
            </w:r>
          </w:p>
        </w:tc>
        <w:tc>
          <w:tcPr>
            <w:tcW w:w="1434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</w:t>
            </w:r>
            <w:r w:rsidRPr="00BF5B08">
              <w:rPr>
                <w:bCs/>
              </w:rPr>
              <w:t>U</w:t>
            </w:r>
          </w:p>
        </w:tc>
        <w:tc>
          <w:tcPr>
            <w:tcW w:w="2123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55.60 (16.61)</w:t>
            </w:r>
          </w:p>
        </w:tc>
        <w:tc>
          <w:tcPr>
            <w:tcW w:w="2124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81.89 (22.68)</w:t>
            </w:r>
          </w:p>
        </w:tc>
        <w:tc>
          <w:tcPr>
            <w:tcW w:w="992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4.89</w:t>
            </w:r>
          </w:p>
        </w:tc>
        <w:tc>
          <w:tcPr>
            <w:tcW w:w="992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&lt;0.001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Prospective IU</w:t>
            </w:r>
          </w:p>
        </w:tc>
        <w:tc>
          <w:tcPr>
            <w:tcW w:w="1434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</w:t>
            </w:r>
            <w:r w:rsidRPr="00BF5B08">
              <w:rPr>
                <w:bCs/>
              </w:rPr>
              <w:t>U</w:t>
            </w:r>
          </w:p>
        </w:tc>
        <w:tc>
          <w:tcPr>
            <w:tcW w:w="2123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17.35 (4.70)</w:t>
            </w:r>
          </w:p>
        </w:tc>
        <w:tc>
          <w:tcPr>
            <w:tcW w:w="2124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23.42 (6.61)</w:t>
            </w:r>
          </w:p>
        </w:tc>
        <w:tc>
          <w:tcPr>
            <w:tcW w:w="992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4.02</w:t>
            </w:r>
          </w:p>
        </w:tc>
        <w:tc>
          <w:tcPr>
            <w:tcW w:w="992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&lt;0.001</w:t>
            </w:r>
          </w:p>
        </w:tc>
      </w:tr>
      <w:tr w:rsidR="00ED0217" w:rsidRPr="00BF5B08" w:rsidTr="000E724C">
        <w:tc>
          <w:tcPr>
            <w:tcW w:w="1549" w:type="dxa"/>
          </w:tcPr>
          <w:p w:rsidR="00ED0217" w:rsidRPr="00BF5B08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Inhibitory IU</w:t>
            </w:r>
          </w:p>
        </w:tc>
        <w:tc>
          <w:tcPr>
            <w:tcW w:w="1434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I</w:t>
            </w:r>
            <w:r w:rsidRPr="00BF5B08">
              <w:rPr>
                <w:bCs/>
              </w:rPr>
              <w:t>U</w:t>
            </w:r>
          </w:p>
        </w:tc>
        <w:tc>
          <w:tcPr>
            <w:tcW w:w="2123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8.25 (3.50)</w:t>
            </w:r>
          </w:p>
        </w:tc>
        <w:tc>
          <w:tcPr>
            <w:tcW w:w="2124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13.73 (4.63)</w:t>
            </w:r>
          </w:p>
        </w:tc>
        <w:tc>
          <w:tcPr>
            <w:tcW w:w="992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4.85</w:t>
            </w:r>
          </w:p>
        </w:tc>
        <w:tc>
          <w:tcPr>
            <w:tcW w:w="992" w:type="dxa"/>
          </w:tcPr>
          <w:p w:rsidR="00ED0217" w:rsidRDefault="00ED0217" w:rsidP="000E724C">
            <w:pPr>
              <w:pStyle w:val="NoSpacing"/>
              <w:spacing w:line="360" w:lineRule="auto"/>
              <w:rPr>
                <w:bCs/>
              </w:rPr>
            </w:pPr>
            <w:r>
              <w:rPr>
                <w:bCs/>
              </w:rPr>
              <w:t>&lt;0.001</w:t>
            </w:r>
          </w:p>
        </w:tc>
      </w:tr>
      <w:tr w:rsidR="00ED0217" w:rsidRPr="00BF5B08" w:rsidTr="000E724C">
        <w:tc>
          <w:tcPr>
            <w:tcW w:w="1549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Obsessions &amp; Compulsion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 xml:space="preserve">OCI 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>
              <w:t>10.25 (7.73)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>
              <w:t>32.03 (11.60)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>
              <w:t>6.45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217" w:rsidRPr="00BF5B08" w:rsidRDefault="00ED0217" w:rsidP="000E724C">
            <w:pPr>
              <w:pStyle w:val="NoSpacing"/>
              <w:spacing w:line="360" w:lineRule="auto"/>
            </w:pPr>
            <w:r w:rsidRPr="00BF5B08">
              <w:rPr>
                <w:bCs/>
              </w:rPr>
              <w:t>&lt;0.001</w:t>
            </w:r>
          </w:p>
        </w:tc>
      </w:tr>
    </w:tbl>
    <w:p w:rsidR="00ED0217" w:rsidRDefault="00ED0217" w:rsidP="00A51C08">
      <w:pPr>
        <w:pStyle w:val="NoSpacing"/>
        <w:spacing w:line="480" w:lineRule="auto"/>
      </w:pPr>
      <w:r>
        <w:t xml:space="preserve">Note. NART: National Adult Reading Test; YBOCS: Yale-Brown Obsessive Compulsive Scale; MADRS: </w:t>
      </w:r>
      <w:r w:rsidRPr="00BB3B08">
        <w:t>Montgomery-</w:t>
      </w:r>
      <w:proofErr w:type="spellStart"/>
      <w:r w:rsidRPr="00BB3B08">
        <w:t>Asberg</w:t>
      </w:r>
      <w:proofErr w:type="spellEnd"/>
      <w:r w:rsidRPr="00BB3B08">
        <w:t xml:space="preserve"> Depression Rating Scale</w:t>
      </w:r>
      <w:r>
        <w:t>; BIS: Barret Impulsivity Scale; STAI-S: State/Trait Anxiety Inventory-</w:t>
      </w:r>
      <w:proofErr w:type="gramStart"/>
      <w:r>
        <w:t>State ;</w:t>
      </w:r>
      <w:proofErr w:type="gramEnd"/>
      <w:r>
        <w:t xml:space="preserve"> STAI-T: State/Trait Anxiety Inventory-Trait; IU: Intolerance </w:t>
      </w:r>
      <w:r>
        <w:lastRenderedPageBreak/>
        <w:t xml:space="preserve">of Uncertainty; OCI: </w:t>
      </w:r>
      <w:r w:rsidRPr="00BF5B08">
        <w:t>Obsessive Compulsi</w:t>
      </w:r>
      <w:r>
        <w:t xml:space="preserve">ve Inventory-Revised; NART scores available for 34 controls and 29 patients. MADRS scores available for 29 patients. </w:t>
      </w:r>
    </w:p>
    <w:p w:rsidR="00A51C08" w:rsidRDefault="00A51C08">
      <w:pPr>
        <w:rPr>
          <w:rFonts w:cs="Times New Roman"/>
          <w:szCs w:val="24"/>
        </w:rPr>
      </w:pPr>
      <w:r>
        <w:br w:type="page"/>
      </w:r>
    </w:p>
    <w:p w:rsidR="002B612E" w:rsidRPr="002B612E" w:rsidRDefault="004B7A28" w:rsidP="004B7A28">
      <w:r>
        <w:rPr>
          <w:b/>
          <w:bCs/>
        </w:rPr>
        <w:lastRenderedPageBreak/>
        <w:t xml:space="preserve">S2 </w:t>
      </w:r>
      <w:r w:rsidR="002B612E" w:rsidRPr="002B612E">
        <w:rPr>
          <w:b/>
          <w:bCs/>
        </w:rPr>
        <w:t xml:space="preserve">Table. </w:t>
      </w:r>
      <w:r w:rsidR="002B612E" w:rsidRPr="00C91135">
        <w:rPr>
          <w:b/>
          <w:bCs/>
        </w:rPr>
        <w:t xml:space="preserve">Dependent variables and </w:t>
      </w:r>
      <w:r w:rsidR="002B612E" w:rsidRPr="00C91135">
        <w:rPr>
          <w:b/>
          <w:bCs/>
          <w:i/>
        </w:rPr>
        <w:t>p</w:t>
      </w:r>
      <w:r w:rsidR="002B612E" w:rsidRPr="00C91135">
        <w:rPr>
          <w:b/>
          <w:bCs/>
        </w:rPr>
        <w:t xml:space="preserve"> values for Condition 2 for all participants</w:t>
      </w:r>
      <w:r w:rsidR="00230C83">
        <w:rPr>
          <w:b/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424"/>
        <w:gridCol w:w="1559"/>
        <w:gridCol w:w="736"/>
        <w:gridCol w:w="1240"/>
        <w:gridCol w:w="1240"/>
        <w:gridCol w:w="1240"/>
      </w:tblGrid>
      <w:tr w:rsidR="002B612E" w:rsidRPr="002B612E" w:rsidTr="000E724C">
        <w:tc>
          <w:tcPr>
            <w:tcW w:w="1803" w:type="dxa"/>
            <w:tcBorders>
              <w:top w:val="single" w:sz="4" w:space="0" w:color="auto"/>
            </w:tcBorders>
          </w:tcPr>
          <w:p w:rsidR="002B612E" w:rsidRPr="002B612E" w:rsidRDefault="002B612E" w:rsidP="000E724C"/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Study 1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Study 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</w:p>
        </w:tc>
      </w:tr>
      <w:tr w:rsidR="002B612E" w:rsidRPr="002B612E" w:rsidTr="000E724C">
        <w:tc>
          <w:tcPr>
            <w:tcW w:w="1803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rPr>
                <w:bCs/>
                <w:iCs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Controls (n=50)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OCD (n=50)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  <w:rPr>
                <w:bCs/>
                <w:i/>
              </w:rPr>
            </w:pPr>
            <w:r w:rsidRPr="002B612E">
              <w:rPr>
                <w:bCs/>
                <w:i/>
              </w:rPr>
              <w:t>p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Low OCI</w:t>
            </w:r>
          </w:p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(n=62)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High OCI</w:t>
            </w:r>
          </w:p>
          <w:p w:rsidR="002B612E" w:rsidRPr="002B612E" w:rsidRDefault="002B612E" w:rsidP="000E724C">
            <w:pPr>
              <w:jc w:val="center"/>
            </w:pPr>
            <w:r w:rsidRPr="002B612E">
              <w:t>(n=63)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  <w:rPr>
                <w:i/>
              </w:rPr>
            </w:pPr>
            <w:r w:rsidRPr="002B612E">
              <w:rPr>
                <w:i/>
              </w:rPr>
              <w:t>p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2B612E" w:rsidP="000E724C">
            <w:r w:rsidRPr="002B612E">
              <w:t>Initial posterior estimate (4)</w:t>
            </w:r>
          </w:p>
        </w:tc>
        <w:tc>
          <w:tcPr>
            <w:tcW w:w="1424" w:type="dxa"/>
          </w:tcPr>
          <w:p w:rsidR="002B612E" w:rsidRPr="002B612E" w:rsidRDefault="002B612E" w:rsidP="000E724C">
            <w:pPr>
              <w:jc w:val="center"/>
            </w:pPr>
            <w:r w:rsidRPr="002B612E">
              <w:t>68.96 (17.39)</w:t>
            </w:r>
          </w:p>
        </w:tc>
        <w:tc>
          <w:tcPr>
            <w:tcW w:w="1559" w:type="dxa"/>
          </w:tcPr>
          <w:p w:rsidR="002B612E" w:rsidRPr="002B612E" w:rsidRDefault="002B612E" w:rsidP="000E724C">
            <w:pPr>
              <w:jc w:val="center"/>
            </w:pPr>
            <w:r w:rsidRPr="002B612E">
              <w:t>75.20 (16.66)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</w:pPr>
            <w:r w:rsidRPr="002B612E">
              <w:t>.07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75.52 (13.83)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73.08 (16.33)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.37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757124" w:rsidP="00757124">
            <w:r>
              <w:t>Number of d</w:t>
            </w:r>
            <w:r w:rsidR="002B612E" w:rsidRPr="002B612E">
              <w:t>raws to certainty (5)**</w:t>
            </w:r>
          </w:p>
        </w:tc>
        <w:tc>
          <w:tcPr>
            <w:tcW w:w="1424" w:type="dxa"/>
            <w:vAlign w:val="bottom"/>
          </w:tcPr>
          <w:p w:rsidR="002B612E" w:rsidRPr="002B612E" w:rsidRDefault="002B612E" w:rsidP="000E724C">
            <w:pPr>
              <w:jc w:val="center"/>
            </w:pPr>
            <w:r w:rsidRPr="002B612E">
              <w:t>6.6 (4.85)</w:t>
            </w:r>
          </w:p>
        </w:tc>
        <w:tc>
          <w:tcPr>
            <w:tcW w:w="1559" w:type="dxa"/>
            <w:vAlign w:val="bottom"/>
          </w:tcPr>
          <w:p w:rsidR="002B612E" w:rsidRPr="002B612E" w:rsidRDefault="002B612E" w:rsidP="000E724C">
            <w:pPr>
              <w:jc w:val="center"/>
            </w:pPr>
            <w:r w:rsidRPr="002B612E">
              <w:t>5.58 (3.31)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</w:pPr>
            <w:r w:rsidRPr="002B612E">
              <w:t>.15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5.47 (3.10)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5.86 (3.97)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.55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2B612E" w:rsidP="000E724C">
            <w:r w:rsidRPr="002B612E">
              <w:t>Confirmatory effect (6a)</w:t>
            </w:r>
          </w:p>
        </w:tc>
        <w:tc>
          <w:tcPr>
            <w:tcW w:w="1424" w:type="dxa"/>
          </w:tcPr>
          <w:p w:rsidR="002B612E" w:rsidRPr="002B612E" w:rsidRDefault="002B612E" w:rsidP="000E724C">
            <w:pPr>
              <w:jc w:val="center"/>
            </w:pPr>
            <w:r w:rsidRPr="002B612E">
              <w:t>7.56 (10.98)</w:t>
            </w:r>
          </w:p>
        </w:tc>
        <w:tc>
          <w:tcPr>
            <w:tcW w:w="1559" w:type="dxa"/>
          </w:tcPr>
          <w:p w:rsidR="002B612E" w:rsidRPr="002B612E" w:rsidRDefault="002B612E" w:rsidP="000E724C">
            <w:pPr>
              <w:jc w:val="center"/>
            </w:pPr>
            <w:r w:rsidRPr="002B612E">
              <w:t>3.24 (15.43)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</w:pPr>
            <w:r w:rsidRPr="002B612E">
              <w:t>.11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8.65 (10.32)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6.54 (12.49)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.31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2B612E" w:rsidP="000E724C">
            <w:pPr>
              <w:rPr>
                <w:bCs/>
              </w:rPr>
            </w:pPr>
            <w:proofErr w:type="spellStart"/>
            <w:r w:rsidRPr="002B612E">
              <w:rPr>
                <w:bCs/>
              </w:rPr>
              <w:t>Disconfirmatory</w:t>
            </w:r>
            <w:proofErr w:type="spellEnd"/>
            <w:r w:rsidRPr="002B612E">
              <w:rPr>
                <w:bCs/>
              </w:rPr>
              <w:t xml:space="preserve"> effect (6b)</w:t>
            </w:r>
          </w:p>
        </w:tc>
        <w:tc>
          <w:tcPr>
            <w:tcW w:w="1424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8.96 (22.85)</w:t>
            </w:r>
          </w:p>
        </w:tc>
        <w:tc>
          <w:tcPr>
            <w:tcW w:w="1559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17.92 (36.95)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.15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8.68 (21.68)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4.51 (21.83)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.29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2B612E" w:rsidP="000E724C">
            <w:pPr>
              <w:rPr>
                <w:bCs/>
              </w:rPr>
            </w:pPr>
            <w:r w:rsidRPr="002B612E">
              <w:rPr>
                <w:bCs/>
              </w:rPr>
              <w:t>Errors at draw ten (7)*</w:t>
            </w:r>
          </w:p>
        </w:tc>
        <w:tc>
          <w:tcPr>
            <w:tcW w:w="1424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22.00%</w:t>
            </w:r>
          </w:p>
        </w:tc>
        <w:tc>
          <w:tcPr>
            <w:tcW w:w="1559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20.00%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.81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6.45%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19.05%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.04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757124" w:rsidP="000E724C">
            <w:pPr>
              <w:rPr>
                <w:bCs/>
              </w:rPr>
            </w:pPr>
            <w:r>
              <w:rPr>
                <w:bCs/>
              </w:rPr>
              <w:t>Number of d</w:t>
            </w:r>
            <w:r w:rsidR="002B612E" w:rsidRPr="002B612E">
              <w:rPr>
                <w:bCs/>
              </w:rPr>
              <w:t>raws from ten to change (8)</w:t>
            </w:r>
          </w:p>
        </w:tc>
        <w:tc>
          <w:tcPr>
            <w:tcW w:w="1424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2.31 (2.21)</w:t>
            </w:r>
          </w:p>
        </w:tc>
        <w:tc>
          <w:tcPr>
            <w:tcW w:w="1559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1.60 (1.42)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.07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2.20 (1.53)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2.47 (1.83)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.23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2B612E" w:rsidP="000E724C">
            <w:r w:rsidRPr="002B612E">
              <w:t>Size of first estimate change (9)</w:t>
            </w:r>
          </w:p>
        </w:tc>
        <w:tc>
          <w:tcPr>
            <w:tcW w:w="1424" w:type="dxa"/>
          </w:tcPr>
          <w:p w:rsidR="002B612E" w:rsidRPr="002B612E" w:rsidRDefault="002B612E" w:rsidP="000E724C">
            <w:pPr>
              <w:jc w:val="center"/>
            </w:pPr>
            <w:r w:rsidRPr="002B612E">
              <w:t>18.22 (25.29)</w:t>
            </w:r>
          </w:p>
        </w:tc>
        <w:tc>
          <w:tcPr>
            <w:tcW w:w="1559" w:type="dxa"/>
          </w:tcPr>
          <w:p w:rsidR="002B612E" w:rsidRPr="002B612E" w:rsidRDefault="002B612E" w:rsidP="000E724C">
            <w:pPr>
              <w:jc w:val="center"/>
            </w:pPr>
            <w:r w:rsidRPr="002B612E">
              <w:t>24.89 (31.66)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</w:pPr>
            <w:r w:rsidRPr="002B612E">
              <w:t>.11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7.33 (21.05)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13.16 (25.83)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.19</w:t>
            </w:r>
          </w:p>
        </w:tc>
      </w:tr>
      <w:tr w:rsidR="002B612E" w:rsidRPr="002B612E" w:rsidTr="000E724C">
        <w:tc>
          <w:tcPr>
            <w:tcW w:w="1803" w:type="dxa"/>
          </w:tcPr>
          <w:p w:rsidR="002B612E" w:rsidRPr="002B612E" w:rsidRDefault="002B612E" w:rsidP="000E724C">
            <w:r w:rsidRPr="002B612E">
              <w:t>Final decision (10)*</w:t>
            </w:r>
          </w:p>
        </w:tc>
        <w:tc>
          <w:tcPr>
            <w:tcW w:w="1424" w:type="dxa"/>
          </w:tcPr>
          <w:p w:rsidR="002B612E" w:rsidRPr="002B612E" w:rsidRDefault="002B612E" w:rsidP="000E724C">
            <w:pPr>
              <w:jc w:val="center"/>
            </w:pPr>
            <w:r w:rsidRPr="002B612E">
              <w:t>76.00%</w:t>
            </w:r>
          </w:p>
        </w:tc>
        <w:tc>
          <w:tcPr>
            <w:tcW w:w="1559" w:type="dxa"/>
          </w:tcPr>
          <w:p w:rsidR="002B612E" w:rsidRPr="002B612E" w:rsidRDefault="002B612E" w:rsidP="000E724C">
            <w:pPr>
              <w:jc w:val="center"/>
            </w:pPr>
            <w:r w:rsidRPr="002B612E">
              <w:t>80.00%</w:t>
            </w:r>
          </w:p>
        </w:tc>
        <w:tc>
          <w:tcPr>
            <w:tcW w:w="736" w:type="dxa"/>
          </w:tcPr>
          <w:p w:rsidR="002B612E" w:rsidRPr="002B612E" w:rsidRDefault="002B612E" w:rsidP="000E724C">
            <w:pPr>
              <w:jc w:val="center"/>
            </w:pPr>
            <w:r w:rsidRPr="002B612E">
              <w:t>.63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83.87%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</w:pPr>
            <w:r w:rsidRPr="002B612E">
              <w:t>80.95</w:t>
            </w:r>
          </w:p>
        </w:tc>
        <w:tc>
          <w:tcPr>
            <w:tcW w:w="1240" w:type="dxa"/>
          </w:tcPr>
          <w:p w:rsidR="002B612E" w:rsidRPr="002B612E" w:rsidRDefault="002B612E" w:rsidP="000E724C">
            <w:pPr>
              <w:jc w:val="center"/>
              <w:rPr>
                <w:bCs/>
              </w:rPr>
            </w:pPr>
            <w:r w:rsidRPr="002B612E">
              <w:rPr>
                <w:bCs/>
              </w:rPr>
              <w:t>.67</w:t>
            </w:r>
          </w:p>
        </w:tc>
      </w:tr>
      <w:tr w:rsidR="002B612E" w:rsidRPr="002B612E" w:rsidTr="000E724C">
        <w:tc>
          <w:tcPr>
            <w:tcW w:w="1803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rPr>
                <w:bCs/>
              </w:rPr>
            </w:pPr>
            <w:r w:rsidRPr="002B612E">
              <w:rPr>
                <w:bCs/>
              </w:rPr>
              <w:t xml:space="preserve">Mean time </w:t>
            </w:r>
            <w:r w:rsidR="00757124">
              <w:rPr>
                <w:bCs/>
              </w:rPr>
              <w:t xml:space="preserve">in seconds </w:t>
            </w:r>
            <w:r w:rsidRPr="002B612E">
              <w:rPr>
                <w:bCs/>
              </w:rPr>
              <w:t>per draw decision (11)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12.78 (4.24)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15.27 (8.97)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.07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11.80 (5.34)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10.81 (3.49)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B612E" w:rsidRPr="002B612E" w:rsidRDefault="002B612E" w:rsidP="000E724C">
            <w:pPr>
              <w:jc w:val="center"/>
            </w:pPr>
            <w:r w:rsidRPr="002B612E">
              <w:t>.22</w:t>
            </w:r>
          </w:p>
        </w:tc>
      </w:tr>
    </w:tbl>
    <w:p w:rsidR="002B612E" w:rsidRPr="002B612E" w:rsidRDefault="002B612E" w:rsidP="002B612E">
      <w:pPr>
        <w:pStyle w:val="NoSpacing"/>
        <w:spacing w:line="480" w:lineRule="auto"/>
      </w:pPr>
      <w:r w:rsidRPr="002B612E">
        <w:t xml:space="preserve"> Note. *Percentage of participants, **Sample size for this measure were 44 and 43 for controls and patients, respectively; 60 and 56 for low- and high-OCI participants, respectively.</w:t>
      </w:r>
    </w:p>
    <w:p w:rsidR="002B612E" w:rsidRPr="00B56B4D" w:rsidRDefault="002B612E" w:rsidP="00ED0217">
      <w:pPr>
        <w:pStyle w:val="NoSpacing"/>
      </w:pPr>
    </w:p>
    <w:sectPr w:rsidR="002B612E" w:rsidRPr="00B56B4D" w:rsidSect="00A51C08">
      <w:footerReference w:type="even" r:id="rId8"/>
      <w:footerReference w:type="default" r:id="rId9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02" w:rsidRDefault="00674902">
      <w:pPr>
        <w:spacing w:after="0" w:line="240" w:lineRule="auto"/>
      </w:pPr>
      <w:r>
        <w:separator/>
      </w:r>
    </w:p>
  </w:endnote>
  <w:endnote w:type="continuationSeparator" w:id="0">
    <w:p w:rsidR="00674902" w:rsidRDefault="0067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3A" w:rsidRDefault="0039433A" w:rsidP="008D1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433A" w:rsidRDefault="00394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3A" w:rsidRDefault="0039433A" w:rsidP="008D1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F07">
      <w:rPr>
        <w:rStyle w:val="PageNumber"/>
        <w:noProof/>
      </w:rPr>
      <w:t>5</w:t>
    </w:r>
    <w:r>
      <w:rPr>
        <w:rStyle w:val="PageNumber"/>
      </w:rPr>
      <w:fldChar w:fldCharType="end"/>
    </w:r>
  </w:p>
  <w:p w:rsidR="0039433A" w:rsidRDefault="00394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02" w:rsidRDefault="00674902">
      <w:pPr>
        <w:spacing w:after="0" w:line="240" w:lineRule="auto"/>
      </w:pPr>
      <w:r>
        <w:separator/>
      </w:r>
    </w:p>
  </w:footnote>
  <w:footnote w:type="continuationSeparator" w:id="0">
    <w:p w:rsidR="00674902" w:rsidRDefault="0067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9E0"/>
    <w:multiLevelType w:val="hybridMultilevel"/>
    <w:tmpl w:val="1458BAF6"/>
    <w:lvl w:ilvl="0" w:tplc="7B3E609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1F5"/>
    <w:multiLevelType w:val="multilevel"/>
    <w:tmpl w:val="9CE8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41378"/>
    <w:multiLevelType w:val="hybridMultilevel"/>
    <w:tmpl w:val="0CF4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417D"/>
    <w:multiLevelType w:val="hybridMultilevel"/>
    <w:tmpl w:val="CB02AC8E"/>
    <w:lvl w:ilvl="0" w:tplc="32C4DB8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631EC"/>
    <w:multiLevelType w:val="hybridMultilevel"/>
    <w:tmpl w:val="C900B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E44C8"/>
    <w:multiLevelType w:val="hybridMultilevel"/>
    <w:tmpl w:val="8384F542"/>
    <w:lvl w:ilvl="0" w:tplc="8EC20E3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9xpsxp0sr0evke2s2ppt2f5092d22e9t5sd&quot;&gt;beads&lt;record-ids&gt;&lt;item&gt;1&lt;/item&gt;&lt;item&gt;2&lt;/item&gt;&lt;item&gt;3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20&lt;/item&gt;&lt;item&gt;22&lt;/item&gt;&lt;item&gt;23&lt;/item&gt;&lt;item&gt;24&lt;/item&gt;&lt;item&gt;25&lt;/item&gt;&lt;item&gt;26&lt;/item&gt;&lt;item&gt;27&lt;/item&gt;&lt;item&gt;28&lt;/item&gt;&lt;item&gt;29&lt;/item&gt;&lt;item&gt;31&lt;/item&gt;&lt;item&gt;33&lt;/item&gt;&lt;item&gt;35&lt;/item&gt;&lt;item&gt;36&lt;/item&gt;&lt;item&gt;37&lt;/item&gt;&lt;item&gt;43&lt;/item&gt;&lt;item&gt;44&lt;/item&gt;&lt;item&gt;47&lt;/item&gt;&lt;item&gt;49&lt;/item&gt;&lt;item&gt;50&lt;/item&gt;&lt;item&gt;51&lt;/item&gt;&lt;item&gt;52&lt;/item&gt;&lt;item&gt;53&lt;/item&gt;&lt;item&gt;54&lt;/item&gt;&lt;item&gt;59&lt;/item&gt;&lt;item&gt;60&lt;/item&gt;&lt;item&gt;61&lt;/item&gt;&lt;item&gt;62&lt;/item&gt;&lt;item&gt;63&lt;/item&gt;&lt;item&gt;64&lt;/item&gt;&lt;item&gt;65&lt;/item&gt;&lt;item&gt;67&lt;/item&gt;&lt;item&gt;72&lt;/item&gt;&lt;item&gt;73&lt;/item&gt;&lt;item&gt;74&lt;/item&gt;&lt;item&gt;75&lt;/item&gt;&lt;item&gt;76&lt;/item&gt;&lt;item&gt;77&lt;/item&gt;&lt;item&gt;78&lt;/item&gt;&lt;item&gt;79&lt;/item&gt;&lt;item&gt;81&lt;/item&gt;&lt;item&gt;82&lt;/item&gt;&lt;item&gt;83&lt;/item&gt;&lt;item&gt;84&lt;/item&gt;&lt;/record-ids&gt;&lt;/item&gt;&lt;/Libraries&gt;"/>
  </w:docVars>
  <w:rsids>
    <w:rsidRoot w:val="00A65E50"/>
    <w:rsid w:val="00001844"/>
    <w:rsid w:val="00010EF4"/>
    <w:rsid w:val="00014DAD"/>
    <w:rsid w:val="00021325"/>
    <w:rsid w:val="000231DC"/>
    <w:rsid w:val="00023BA1"/>
    <w:rsid w:val="00026B12"/>
    <w:rsid w:val="00031B6A"/>
    <w:rsid w:val="0003498C"/>
    <w:rsid w:val="00037DE0"/>
    <w:rsid w:val="0004367D"/>
    <w:rsid w:val="00044D0D"/>
    <w:rsid w:val="00047CF3"/>
    <w:rsid w:val="000538DC"/>
    <w:rsid w:val="00055913"/>
    <w:rsid w:val="000577AE"/>
    <w:rsid w:val="00061861"/>
    <w:rsid w:val="0006518F"/>
    <w:rsid w:val="0007238E"/>
    <w:rsid w:val="0007469C"/>
    <w:rsid w:val="00086498"/>
    <w:rsid w:val="00087E04"/>
    <w:rsid w:val="00092D89"/>
    <w:rsid w:val="000A701B"/>
    <w:rsid w:val="000A7958"/>
    <w:rsid w:val="000B3688"/>
    <w:rsid w:val="000B5811"/>
    <w:rsid w:val="000B5F53"/>
    <w:rsid w:val="000C2595"/>
    <w:rsid w:val="000C4FAB"/>
    <w:rsid w:val="000C61BB"/>
    <w:rsid w:val="000D099F"/>
    <w:rsid w:val="000F0BC4"/>
    <w:rsid w:val="000F7676"/>
    <w:rsid w:val="00114E70"/>
    <w:rsid w:val="0012143C"/>
    <w:rsid w:val="00122EEA"/>
    <w:rsid w:val="001313DD"/>
    <w:rsid w:val="001325D4"/>
    <w:rsid w:val="00133527"/>
    <w:rsid w:val="001371A5"/>
    <w:rsid w:val="001440FD"/>
    <w:rsid w:val="001467C8"/>
    <w:rsid w:val="00147C14"/>
    <w:rsid w:val="00153C64"/>
    <w:rsid w:val="00155054"/>
    <w:rsid w:val="00162FE2"/>
    <w:rsid w:val="0016372F"/>
    <w:rsid w:val="0016540E"/>
    <w:rsid w:val="0017144E"/>
    <w:rsid w:val="001741D1"/>
    <w:rsid w:val="00180B27"/>
    <w:rsid w:val="00186FC9"/>
    <w:rsid w:val="001914AD"/>
    <w:rsid w:val="001926A6"/>
    <w:rsid w:val="00192B77"/>
    <w:rsid w:val="00196F06"/>
    <w:rsid w:val="00196FE9"/>
    <w:rsid w:val="001A1222"/>
    <w:rsid w:val="001A33F6"/>
    <w:rsid w:val="001A4B9A"/>
    <w:rsid w:val="001B1FE5"/>
    <w:rsid w:val="001C0C5B"/>
    <w:rsid w:val="001C457A"/>
    <w:rsid w:val="001D0315"/>
    <w:rsid w:val="001F40CE"/>
    <w:rsid w:val="001F6DCE"/>
    <w:rsid w:val="00204378"/>
    <w:rsid w:val="00205056"/>
    <w:rsid w:val="00213145"/>
    <w:rsid w:val="00213E53"/>
    <w:rsid w:val="00223CB5"/>
    <w:rsid w:val="00227967"/>
    <w:rsid w:val="00227BE8"/>
    <w:rsid w:val="002302FE"/>
    <w:rsid w:val="00230C83"/>
    <w:rsid w:val="00231B50"/>
    <w:rsid w:val="00234CBC"/>
    <w:rsid w:val="00237291"/>
    <w:rsid w:val="00237E8C"/>
    <w:rsid w:val="00240225"/>
    <w:rsid w:val="002413AB"/>
    <w:rsid w:val="002437F8"/>
    <w:rsid w:val="002455C5"/>
    <w:rsid w:val="00246547"/>
    <w:rsid w:val="002612B3"/>
    <w:rsid w:val="00262594"/>
    <w:rsid w:val="00264028"/>
    <w:rsid w:val="00275839"/>
    <w:rsid w:val="00277D41"/>
    <w:rsid w:val="00281F26"/>
    <w:rsid w:val="002825DE"/>
    <w:rsid w:val="0029047B"/>
    <w:rsid w:val="00294C8C"/>
    <w:rsid w:val="002A0116"/>
    <w:rsid w:val="002A025A"/>
    <w:rsid w:val="002A068F"/>
    <w:rsid w:val="002A53EE"/>
    <w:rsid w:val="002A6F74"/>
    <w:rsid w:val="002B612E"/>
    <w:rsid w:val="002B61E9"/>
    <w:rsid w:val="002B7709"/>
    <w:rsid w:val="002C023D"/>
    <w:rsid w:val="002C1636"/>
    <w:rsid w:val="002C3DED"/>
    <w:rsid w:val="002C52C8"/>
    <w:rsid w:val="002E3793"/>
    <w:rsid w:val="003065F3"/>
    <w:rsid w:val="00313036"/>
    <w:rsid w:val="00313B28"/>
    <w:rsid w:val="003213AE"/>
    <w:rsid w:val="003244C7"/>
    <w:rsid w:val="003256A2"/>
    <w:rsid w:val="00325D6D"/>
    <w:rsid w:val="00333A87"/>
    <w:rsid w:val="00333D12"/>
    <w:rsid w:val="0033441C"/>
    <w:rsid w:val="00334546"/>
    <w:rsid w:val="00336EE9"/>
    <w:rsid w:val="00345A0F"/>
    <w:rsid w:val="00353B4A"/>
    <w:rsid w:val="00360E30"/>
    <w:rsid w:val="00365F0B"/>
    <w:rsid w:val="00370444"/>
    <w:rsid w:val="003714DF"/>
    <w:rsid w:val="00373472"/>
    <w:rsid w:val="00380939"/>
    <w:rsid w:val="00380E1F"/>
    <w:rsid w:val="00391255"/>
    <w:rsid w:val="00391772"/>
    <w:rsid w:val="0039357D"/>
    <w:rsid w:val="00393F48"/>
    <w:rsid w:val="0039433A"/>
    <w:rsid w:val="0039798D"/>
    <w:rsid w:val="003B00BD"/>
    <w:rsid w:val="003B27A2"/>
    <w:rsid w:val="003B27F3"/>
    <w:rsid w:val="003C06E5"/>
    <w:rsid w:val="003C1183"/>
    <w:rsid w:val="003C2BAE"/>
    <w:rsid w:val="003D3BAF"/>
    <w:rsid w:val="003D3D2F"/>
    <w:rsid w:val="003E2CD8"/>
    <w:rsid w:val="003E2D89"/>
    <w:rsid w:val="003E396C"/>
    <w:rsid w:val="003F1C70"/>
    <w:rsid w:val="003F3A18"/>
    <w:rsid w:val="003F7C13"/>
    <w:rsid w:val="0040213C"/>
    <w:rsid w:val="00424212"/>
    <w:rsid w:val="0042486B"/>
    <w:rsid w:val="00427FE9"/>
    <w:rsid w:val="004320F8"/>
    <w:rsid w:val="00434916"/>
    <w:rsid w:val="004352AC"/>
    <w:rsid w:val="0044072C"/>
    <w:rsid w:val="00442874"/>
    <w:rsid w:val="0044405F"/>
    <w:rsid w:val="0044649B"/>
    <w:rsid w:val="0045158D"/>
    <w:rsid w:val="00465CC3"/>
    <w:rsid w:val="00466A8E"/>
    <w:rsid w:val="00472139"/>
    <w:rsid w:val="00475860"/>
    <w:rsid w:val="00480CBA"/>
    <w:rsid w:val="00481534"/>
    <w:rsid w:val="00482559"/>
    <w:rsid w:val="004838DD"/>
    <w:rsid w:val="00485D15"/>
    <w:rsid w:val="00491362"/>
    <w:rsid w:val="0049497C"/>
    <w:rsid w:val="0049503C"/>
    <w:rsid w:val="004958FF"/>
    <w:rsid w:val="004A0C31"/>
    <w:rsid w:val="004A3020"/>
    <w:rsid w:val="004B02E4"/>
    <w:rsid w:val="004B0621"/>
    <w:rsid w:val="004B7A28"/>
    <w:rsid w:val="004C1652"/>
    <w:rsid w:val="004D3456"/>
    <w:rsid w:val="004D6C10"/>
    <w:rsid w:val="004E0E3D"/>
    <w:rsid w:val="004F15EA"/>
    <w:rsid w:val="004F3E72"/>
    <w:rsid w:val="00500BC3"/>
    <w:rsid w:val="005029EB"/>
    <w:rsid w:val="005102DB"/>
    <w:rsid w:val="00513129"/>
    <w:rsid w:val="00513EBE"/>
    <w:rsid w:val="00526F8F"/>
    <w:rsid w:val="00532903"/>
    <w:rsid w:val="0053793B"/>
    <w:rsid w:val="00545CDB"/>
    <w:rsid w:val="00546DE6"/>
    <w:rsid w:val="0055351C"/>
    <w:rsid w:val="00567374"/>
    <w:rsid w:val="00567DBF"/>
    <w:rsid w:val="00571915"/>
    <w:rsid w:val="0057231E"/>
    <w:rsid w:val="0057243B"/>
    <w:rsid w:val="00575944"/>
    <w:rsid w:val="00576166"/>
    <w:rsid w:val="00580761"/>
    <w:rsid w:val="00586AD0"/>
    <w:rsid w:val="005913B6"/>
    <w:rsid w:val="005961CE"/>
    <w:rsid w:val="005A094C"/>
    <w:rsid w:val="005A6010"/>
    <w:rsid w:val="005B469B"/>
    <w:rsid w:val="005C684B"/>
    <w:rsid w:val="005D3DFB"/>
    <w:rsid w:val="005D6A5D"/>
    <w:rsid w:val="005D7DE9"/>
    <w:rsid w:val="005E2234"/>
    <w:rsid w:val="005E49A4"/>
    <w:rsid w:val="005E4F7A"/>
    <w:rsid w:val="005F4149"/>
    <w:rsid w:val="005F57FF"/>
    <w:rsid w:val="005F7871"/>
    <w:rsid w:val="00601CC2"/>
    <w:rsid w:val="006037E7"/>
    <w:rsid w:val="006046A2"/>
    <w:rsid w:val="0061203B"/>
    <w:rsid w:val="006139D8"/>
    <w:rsid w:val="00615826"/>
    <w:rsid w:val="006172B7"/>
    <w:rsid w:val="00621094"/>
    <w:rsid w:val="0062135F"/>
    <w:rsid w:val="0062320B"/>
    <w:rsid w:val="0062354C"/>
    <w:rsid w:val="0062369D"/>
    <w:rsid w:val="00625463"/>
    <w:rsid w:val="00625F87"/>
    <w:rsid w:val="006322D9"/>
    <w:rsid w:val="00632DD7"/>
    <w:rsid w:val="00635BB6"/>
    <w:rsid w:val="00636E0F"/>
    <w:rsid w:val="00637660"/>
    <w:rsid w:val="00637A22"/>
    <w:rsid w:val="00650D33"/>
    <w:rsid w:val="00655346"/>
    <w:rsid w:val="0067317B"/>
    <w:rsid w:val="00674902"/>
    <w:rsid w:val="00674A9B"/>
    <w:rsid w:val="006754F5"/>
    <w:rsid w:val="00685B50"/>
    <w:rsid w:val="00692ABC"/>
    <w:rsid w:val="00693286"/>
    <w:rsid w:val="006A0393"/>
    <w:rsid w:val="006A2E2E"/>
    <w:rsid w:val="006B046C"/>
    <w:rsid w:val="006C00AD"/>
    <w:rsid w:val="006C0C51"/>
    <w:rsid w:val="006C2FB7"/>
    <w:rsid w:val="006C40B9"/>
    <w:rsid w:val="006C4800"/>
    <w:rsid w:val="006C52BB"/>
    <w:rsid w:val="006D2549"/>
    <w:rsid w:val="006D27B0"/>
    <w:rsid w:val="006D5906"/>
    <w:rsid w:val="006D657A"/>
    <w:rsid w:val="006D69AF"/>
    <w:rsid w:val="006E060C"/>
    <w:rsid w:val="006E2975"/>
    <w:rsid w:val="006E309D"/>
    <w:rsid w:val="006F202B"/>
    <w:rsid w:val="006F35CB"/>
    <w:rsid w:val="006F4223"/>
    <w:rsid w:val="006F7771"/>
    <w:rsid w:val="006F7F5A"/>
    <w:rsid w:val="0070244A"/>
    <w:rsid w:val="00706044"/>
    <w:rsid w:val="00706D2A"/>
    <w:rsid w:val="007155AA"/>
    <w:rsid w:val="00715F61"/>
    <w:rsid w:val="00716EFA"/>
    <w:rsid w:val="00717AD1"/>
    <w:rsid w:val="00720B86"/>
    <w:rsid w:val="00721598"/>
    <w:rsid w:val="00734EC7"/>
    <w:rsid w:val="0073746B"/>
    <w:rsid w:val="00746DC0"/>
    <w:rsid w:val="00754A05"/>
    <w:rsid w:val="00754E44"/>
    <w:rsid w:val="007554F6"/>
    <w:rsid w:val="0075555E"/>
    <w:rsid w:val="00755E86"/>
    <w:rsid w:val="00757124"/>
    <w:rsid w:val="00757557"/>
    <w:rsid w:val="00760990"/>
    <w:rsid w:val="0076556D"/>
    <w:rsid w:val="00771954"/>
    <w:rsid w:val="0077626A"/>
    <w:rsid w:val="007764DE"/>
    <w:rsid w:val="0077682B"/>
    <w:rsid w:val="00777985"/>
    <w:rsid w:val="00784D55"/>
    <w:rsid w:val="00791A6A"/>
    <w:rsid w:val="007A03CF"/>
    <w:rsid w:val="007A41A4"/>
    <w:rsid w:val="007B7F79"/>
    <w:rsid w:val="007C02D4"/>
    <w:rsid w:val="007C5741"/>
    <w:rsid w:val="007D29FF"/>
    <w:rsid w:val="007D3759"/>
    <w:rsid w:val="007D44E6"/>
    <w:rsid w:val="007D5287"/>
    <w:rsid w:val="007D58BA"/>
    <w:rsid w:val="007E36EA"/>
    <w:rsid w:val="007E3FBE"/>
    <w:rsid w:val="007E4B76"/>
    <w:rsid w:val="007F3AE2"/>
    <w:rsid w:val="007F78F5"/>
    <w:rsid w:val="00800B69"/>
    <w:rsid w:val="00803D28"/>
    <w:rsid w:val="00813136"/>
    <w:rsid w:val="00814C83"/>
    <w:rsid w:val="008169FF"/>
    <w:rsid w:val="00823D0B"/>
    <w:rsid w:val="00826994"/>
    <w:rsid w:val="00826EAE"/>
    <w:rsid w:val="0082778F"/>
    <w:rsid w:val="00833F4F"/>
    <w:rsid w:val="008353B7"/>
    <w:rsid w:val="008363D7"/>
    <w:rsid w:val="00836B98"/>
    <w:rsid w:val="00850B3E"/>
    <w:rsid w:val="00853E3E"/>
    <w:rsid w:val="00855C90"/>
    <w:rsid w:val="00860ACB"/>
    <w:rsid w:val="00861F85"/>
    <w:rsid w:val="00864B58"/>
    <w:rsid w:val="00865E5A"/>
    <w:rsid w:val="008701AA"/>
    <w:rsid w:val="00871069"/>
    <w:rsid w:val="00873378"/>
    <w:rsid w:val="00876F32"/>
    <w:rsid w:val="00877990"/>
    <w:rsid w:val="00887CF2"/>
    <w:rsid w:val="00894945"/>
    <w:rsid w:val="00895D23"/>
    <w:rsid w:val="00895EAC"/>
    <w:rsid w:val="008A0924"/>
    <w:rsid w:val="008A519D"/>
    <w:rsid w:val="008B08B6"/>
    <w:rsid w:val="008B3A78"/>
    <w:rsid w:val="008C3131"/>
    <w:rsid w:val="008C655C"/>
    <w:rsid w:val="008D1574"/>
    <w:rsid w:val="008D1FF4"/>
    <w:rsid w:val="008D51FF"/>
    <w:rsid w:val="0092105D"/>
    <w:rsid w:val="0092587E"/>
    <w:rsid w:val="00934672"/>
    <w:rsid w:val="009357E6"/>
    <w:rsid w:val="00935906"/>
    <w:rsid w:val="00936847"/>
    <w:rsid w:val="00937D29"/>
    <w:rsid w:val="00962A96"/>
    <w:rsid w:val="00963EA3"/>
    <w:rsid w:val="00974087"/>
    <w:rsid w:val="00976243"/>
    <w:rsid w:val="00982BF6"/>
    <w:rsid w:val="00983409"/>
    <w:rsid w:val="009842F8"/>
    <w:rsid w:val="0098545B"/>
    <w:rsid w:val="00992E5A"/>
    <w:rsid w:val="00995A38"/>
    <w:rsid w:val="00995AA1"/>
    <w:rsid w:val="009B1BDC"/>
    <w:rsid w:val="009B1CA0"/>
    <w:rsid w:val="009B2FCD"/>
    <w:rsid w:val="009C0E27"/>
    <w:rsid w:val="009C1C57"/>
    <w:rsid w:val="009C6081"/>
    <w:rsid w:val="009C67A6"/>
    <w:rsid w:val="009D20C8"/>
    <w:rsid w:val="009D51DB"/>
    <w:rsid w:val="009E550A"/>
    <w:rsid w:val="009F4055"/>
    <w:rsid w:val="009F750E"/>
    <w:rsid w:val="00A07D07"/>
    <w:rsid w:val="00A07E42"/>
    <w:rsid w:val="00A10207"/>
    <w:rsid w:val="00A17BF8"/>
    <w:rsid w:val="00A27AB7"/>
    <w:rsid w:val="00A309F9"/>
    <w:rsid w:val="00A30A89"/>
    <w:rsid w:val="00A319FC"/>
    <w:rsid w:val="00A31BE5"/>
    <w:rsid w:val="00A364AD"/>
    <w:rsid w:val="00A40F80"/>
    <w:rsid w:val="00A41B1D"/>
    <w:rsid w:val="00A43C3C"/>
    <w:rsid w:val="00A51C08"/>
    <w:rsid w:val="00A520E5"/>
    <w:rsid w:val="00A6167A"/>
    <w:rsid w:val="00A6384C"/>
    <w:rsid w:val="00A65E50"/>
    <w:rsid w:val="00A7030F"/>
    <w:rsid w:val="00A70ECF"/>
    <w:rsid w:val="00A807DE"/>
    <w:rsid w:val="00A84845"/>
    <w:rsid w:val="00A91308"/>
    <w:rsid w:val="00A933E9"/>
    <w:rsid w:val="00AA5E35"/>
    <w:rsid w:val="00AB0526"/>
    <w:rsid w:val="00AB555C"/>
    <w:rsid w:val="00AC26E8"/>
    <w:rsid w:val="00AD540E"/>
    <w:rsid w:val="00AD7D6E"/>
    <w:rsid w:val="00AE4C3F"/>
    <w:rsid w:val="00AF60D8"/>
    <w:rsid w:val="00B10A8A"/>
    <w:rsid w:val="00B1368F"/>
    <w:rsid w:val="00B15765"/>
    <w:rsid w:val="00B157F7"/>
    <w:rsid w:val="00B159BA"/>
    <w:rsid w:val="00B2373E"/>
    <w:rsid w:val="00B25202"/>
    <w:rsid w:val="00B27A8F"/>
    <w:rsid w:val="00B309DC"/>
    <w:rsid w:val="00B414C0"/>
    <w:rsid w:val="00B46E0C"/>
    <w:rsid w:val="00B50A15"/>
    <w:rsid w:val="00B513F1"/>
    <w:rsid w:val="00B55BC5"/>
    <w:rsid w:val="00B603AC"/>
    <w:rsid w:val="00B6405B"/>
    <w:rsid w:val="00B743CE"/>
    <w:rsid w:val="00B812E8"/>
    <w:rsid w:val="00B844FF"/>
    <w:rsid w:val="00B966ED"/>
    <w:rsid w:val="00B974EA"/>
    <w:rsid w:val="00BA0885"/>
    <w:rsid w:val="00BA54F9"/>
    <w:rsid w:val="00BA77F1"/>
    <w:rsid w:val="00BB24A1"/>
    <w:rsid w:val="00BB3B08"/>
    <w:rsid w:val="00BC2E42"/>
    <w:rsid w:val="00BC4486"/>
    <w:rsid w:val="00BC77A7"/>
    <w:rsid w:val="00BD0B66"/>
    <w:rsid w:val="00BE38D6"/>
    <w:rsid w:val="00BE66F4"/>
    <w:rsid w:val="00BF4FCC"/>
    <w:rsid w:val="00BF5216"/>
    <w:rsid w:val="00C016F4"/>
    <w:rsid w:val="00C066DB"/>
    <w:rsid w:val="00C11FEF"/>
    <w:rsid w:val="00C173AA"/>
    <w:rsid w:val="00C17BC9"/>
    <w:rsid w:val="00C221DB"/>
    <w:rsid w:val="00C22B4E"/>
    <w:rsid w:val="00C25682"/>
    <w:rsid w:val="00C27072"/>
    <w:rsid w:val="00C31EF1"/>
    <w:rsid w:val="00C328A3"/>
    <w:rsid w:val="00C353BC"/>
    <w:rsid w:val="00C36EEF"/>
    <w:rsid w:val="00C40063"/>
    <w:rsid w:val="00C45DFF"/>
    <w:rsid w:val="00C477AC"/>
    <w:rsid w:val="00C5491B"/>
    <w:rsid w:val="00C54EFD"/>
    <w:rsid w:val="00C56AE4"/>
    <w:rsid w:val="00C64293"/>
    <w:rsid w:val="00C66805"/>
    <w:rsid w:val="00C7302E"/>
    <w:rsid w:val="00C742D6"/>
    <w:rsid w:val="00C75A39"/>
    <w:rsid w:val="00C7684A"/>
    <w:rsid w:val="00C777F9"/>
    <w:rsid w:val="00C80CFA"/>
    <w:rsid w:val="00C8759E"/>
    <w:rsid w:val="00C878DD"/>
    <w:rsid w:val="00C91135"/>
    <w:rsid w:val="00CA0C95"/>
    <w:rsid w:val="00CA17FE"/>
    <w:rsid w:val="00CB1241"/>
    <w:rsid w:val="00CB3AF4"/>
    <w:rsid w:val="00CB76CF"/>
    <w:rsid w:val="00CC2C36"/>
    <w:rsid w:val="00CC62F4"/>
    <w:rsid w:val="00CC7409"/>
    <w:rsid w:val="00CD6681"/>
    <w:rsid w:val="00CE54C9"/>
    <w:rsid w:val="00CE55FD"/>
    <w:rsid w:val="00CF00FB"/>
    <w:rsid w:val="00D045FA"/>
    <w:rsid w:val="00D06A2C"/>
    <w:rsid w:val="00D15275"/>
    <w:rsid w:val="00D16934"/>
    <w:rsid w:val="00D2381B"/>
    <w:rsid w:val="00D23EC6"/>
    <w:rsid w:val="00D258D3"/>
    <w:rsid w:val="00D2644D"/>
    <w:rsid w:val="00D31691"/>
    <w:rsid w:val="00D324EB"/>
    <w:rsid w:val="00D32590"/>
    <w:rsid w:val="00D37FCE"/>
    <w:rsid w:val="00D455E1"/>
    <w:rsid w:val="00D55CC9"/>
    <w:rsid w:val="00D6247A"/>
    <w:rsid w:val="00D726C7"/>
    <w:rsid w:val="00D779ED"/>
    <w:rsid w:val="00D848D0"/>
    <w:rsid w:val="00D84C33"/>
    <w:rsid w:val="00DA5D14"/>
    <w:rsid w:val="00DB0D58"/>
    <w:rsid w:val="00DB3071"/>
    <w:rsid w:val="00DB4BB0"/>
    <w:rsid w:val="00DC3345"/>
    <w:rsid w:val="00DC68C2"/>
    <w:rsid w:val="00DD09CF"/>
    <w:rsid w:val="00DD551D"/>
    <w:rsid w:val="00DD747B"/>
    <w:rsid w:val="00DE3896"/>
    <w:rsid w:val="00DE5E09"/>
    <w:rsid w:val="00DF1F1C"/>
    <w:rsid w:val="00DF6C47"/>
    <w:rsid w:val="00E05232"/>
    <w:rsid w:val="00E10D2C"/>
    <w:rsid w:val="00E13126"/>
    <w:rsid w:val="00E13E24"/>
    <w:rsid w:val="00E2086B"/>
    <w:rsid w:val="00E220BA"/>
    <w:rsid w:val="00E238C5"/>
    <w:rsid w:val="00E241C7"/>
    <w:rsid w:val="00E30BF4"/>
    <w:rsid w:val="00E377D4"/>
    <w:rsid w:val="00E4503E"/>
    <w:rsid w:val="00E45AA0"/>
    <w:rsid w:val="00E475A1"/>
    <w:rsid w:val="00E60BAB"/>
    <w:rsid w:val="00E61800"/>
    <w:rsid w:val="00E62AE7"/>
    <w:rsid w:val="00E66784"/>
    <w:rsid w:val="00E80F59"/>
    <w:rsid w:val="00E82AD9"/>
    <w:rsid w:val="00E870F0"/>
    <w:rsid w:val="00E916D3"/>
    <w:rsid w:val="00EA5125"/>
    <w:rsid w:val="00EA6AE5"/>
    <w:rsid w:val="00EA7665"/>
    <w:rsid w:val="00EB2425"/>
    <w:rsid w:val="00EB6819"/>
    <w:rsid w:val="00EC0053"/>
    <w:rsid w:val="00EC1609"/>
    <w:rsid w:val="00EC28CD"/>
    <w:rsid w:val="00EC4B33"/>
    <w:rsid w:val="00EC57BD"/>
    <w:rsid w:val="00ED0217"/>
    <w:rsid w:val="00ED059C"/>
    <w:rsid w:val="00ED3550"/>
    <w:rsid w:val="00EE4E20"/>
    <w:rsid w:val="00EE765E"/>
    <w:rsid w:val="00EF777B"/>
    <w:rsid w:val="00F00736"/>
    <w:rsid w:val="00F04875"/>
    <w:rsid w:val="00F0646D"/>
    <w:rsid w:val="00F07543"/>
    <w:rsid w:val="00F161E2"/>
    <w:rsid w:val="00F26338"/>
    <w:rsid w:val="00F3678A"/>
    <w:rsid w:val="00F37461"/>
    <w:rsid w:val="00F41053"/>
    <w:rsid w:val="00F41254"/>
    <w:rsid w:val="00F529CD"/>
    <w:rsid w:val="00F72578"/>
    <w:rsid w:val="00F74D8E"/>
    <w:rsid w:val="00F75F55"/>
    <w:rsid w:val="00F82BC0"/>
    <w:rsid w:val="00F8351B"/>
    <w:rsid w:val="00FA2E25"/>
    <w:rsid w:val="00FA5A5A"/>
    <w:rsid w:val="00FB1307"/>
    <w:rsid w:val="00FB23A0"/>
    <w:rsid w:val="00FB2F07"/>
    <w:rsid w:val="00FB537C"/>
    <w:rsid w:val="00FB5771"/>
    <w:rsid w:val="00FB79C3"/>
    <w:rsid w:val="00FE22C3"/>
    <w:rsid w:val="00FE45E8"/>
    <w:rsid w:val="00FE4D29"/>
    <w:rsid w:val="00FE5566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4DB5"/>
  <w15:docId w15:val="{856DC30D-0F72-4036-80D7-5331D72B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044"/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5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E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E5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E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E5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E5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E5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E5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E5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E5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E5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E50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A65E5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A65E50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A65E50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A65E5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65E5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65E5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5E50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5E5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65E5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E50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A65E5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A65E50"/>
    <w:rPr>
      <w:b/>
      <w:bCs/>
    </w:rPr>
  </w:style>
  <w:style w:type="character" w:styleId="Emphasis">
    <w:name w:val="Emphasis"/>
    <w:uiPriority w:val="20"/>
    <w:qFormat/>
    <w:rsid w:val="00A65E50"/>
    <w:rPr>
      <w:i/>
      <w:iCs/>
    </w:rPr>
  </w:style>
  <w:style w:type="paragraph" w:styleId="NoSpacing">
    <w:name w:val="No Spacing"/>
    <w:uiPriority w:val="1"/>
    <w:qFormat/>
    <w:rsid w:val="005E4F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5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5E5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65E50"/>
    <w:rPr>
      <w:rFonts w:eastAsiaTheme="minorEastAsia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5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A65E50"/>
    <w:rPr>
      <w:rFonts w:eastAsiaTheme="minorEastAsia"/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A65E50"/>
    <w:rPr>
      <w:i/>
      <w:iCs/>
      <w:color w:val="808080"/>
    </w:rPr>
  </w:style>
  <w:style w:type="character" w:styleId="IntenseEmphasis">
    <w:name w:val="Intense Emphasis"/>
    <w:uiPriority w:val="21"/>
    <w:qFormat/>
    <w:rsid w:val="00A65E50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A65E50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A65E50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A65E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50"/>
    <w:pPr>
      <w:outlineLvl w:val="9"/>
    </w:pPr>
  </w:style>
  <w:style w:type="paragraph" w:styleId="Footer">
    <w:name w:val="footer"/>
    <w:basedOn w:val="Normal"/>
    <w:link w:val="FooterChar"/>
    <w:uiPriority w:val="99"/>
    <w:rsid w:val="00A65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E50"/>
    <w:rPr>
      <w:rFonts w:eastAsiaTheme="minorEastAsia"/>
    </w:rPr>
  </w:style>
  <w:style w:type="character" w:styleId="PageNumber">
    <w:name w:val="page number"/>
    <w:basedOn w:val="DefaultParagraphFont"/>
    <w:rsid w:val="00A65E50"/>
  </w:style>
  <w:style w:type="table" w:styleId="TableGrid">
    <w:name w:val="Table Grid"/>
    <w:basedOn w:val="TableNormal"/>
    <w:uiPriority w:val="39"/>
    <w:rsid w:val="00A65E5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E50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E50"/>
    <w:pPr>
      <w:spacing w:before="100" w:beforeAutospacing="1" w:after="100" w:afterAutospacing="1" w:line="240" w:lineRule="auto"/>
    </w:pPr>
    <w:rPr>
      <w:rFonts w:cs="Times New Roman"/>
      <w:szCs w:val="24"/>
      <w:lang w:eastAsia="en-GB"/>
    </w:rPr>
  </w:style>
  <w:style w:type="paragraph" w:styleId="Header">
    <w:name w:val="header"/>
    <w:basedOn w:val="Normal"/>
    <w:link w:val="HeaderChar"/>
    <w:rsid w:val="00A6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5E50"/>
    <w:rPr>
      <w:rFonts w:eastAsiaTheme="minorEastAsia"/>
    </w:rPr>
  </w:style>
  <w:style w:type="character" w:styleId="Hyperlink">
    <w:name w:val="Hyperlink"/>
    <w:basedOn w:val="DefaultParagraphFont"/>
    <w:rsid w:val="00A65E5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65E50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5E50"/>
    <w:rPr>
      <w:rFonts w:ascii="Calibri" w:hAnsi="Calibri"/>
      <w:szCs w:val="21"/>
    </w:rPr>
  </w:style>
  <w:style w:type="character" w:customStyle="1" w:styleId="jrnl">
    <w:name w:val="jrnl"/>
    <w:basedOn w:val="DefaultParagraphFont"/>
    <w:rsid w:val="006754F5"/>
  </w:style>
  <w:style w:type="paragraph" w:styleId="Revision">
    <w:name w:val="Revision"/>
    <w:hidden/>
    <w:uiPriority w:val="99"/>
    <w:semiHidden/>
    <w:rsid w:val="00325D6D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C2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3DA1-6D30-4874-9265-B08898AF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2D1582C2</Template>
  <TotalTime>10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cp:lastModifiedBy>Morein, Sharon</cp:lastModifiedBy>
  <cp:revision>9</cp:revision>
  <dcterms:created xsi:type="dcterms:W3CDTF">2019-09-24T15:33:00Z</dcterms:created>
  <dcterms:modified xsi:type="dcterms:W3CDTF">2019-12-05T10:17:00Z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