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78A0" w14:textId="77777777" w:rsidR="007A18F6" w:rsidRDefault="007A18F6" w:rsidP="007A18F6">
      <w:pP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6573B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Figure S2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. </w:t>
      </w:r>
      <w:r w:rsidR="00C83D36" w:rsidRPr="00C83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Associations of PCL-R Facets and gray mater volume, and emotional recognition performance</w:t>
      </w:r>
      <w:bookmarkStart w:id="0" w:name="_GoBack"/>
      <w:bookmarkEnd w:id="0"/>
    </w:p>
    <w:p w14:paraId="434154A9" w14:textId="77777777" w:rsidR="007A18F6" w:rsidRDefault="007A18F6" w:rsidP="007A18F6">
      <w:r>
        <w:rPr>
          <w:rFonts w:ascii="Times New Roman" w:hAnsi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70283097" wp14:editId="50DD04C5">
            <wp:extent cx="5803900" cy="4787900"/>
            <wp:effectExtent l="0" t="0" r="12700" b="12700"/>
            <wp:docPr id="1" name="Imagen 1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BCA0" w14:textId="77777777" w:rsidR="007A18F6" w:rsidRDefault="007A18F6" w:rsidP="007A18F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9A608CF" w14:textId="77777777" w:rsidR="007A18F6" w:rsidRPr="00A0576B" w:rsidRDefault="007A18F6" w:rsidP="007A18F6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041F">
        <w:rPr>
          <w:rFonts w:ascii="Times New Roman" w:hAnsi="Times New Roman"/>
          <w:sz w:val="24"/>
          <w:szCs w:val="24"/>
        </w:rPr>
        <w:t>Significant association</w:t>
      </w:r>
      <w:r>
        <w:rPr>
          <w:rFonts w:ascii="Times New Roman" w:hAnsi="Times New Roman"/>
          <w:sz w:val="24"/>
          <w:szCs w:val="24"/>
        </w:rPr>
        <w:t>s</w:t>
      </w:r>
      <w:r w:rsidRPr="00DA041F">
        <w:rPr>
          <w:rFonts w:ascii="Times New Roman" w:hAnsi="Times New Roman"/>
          <w:sz w:val="24"/>
          <w:szCs w:val="24"/>
        </w:rPr>
        <w:t xml:space="preserve"> between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41F">
        <w:rPr>
          <w:rFonts w:ascii="Times New Roman" w:hAnsi="Times New Roman"/>
          <w:sz w:val="24"/>
          <w:szCs w:val="24"/>
        </w:rPr>
        <w:t>PCL-R Facet</w:t>
      </w:r>
      <w:r>
        <w:rPr>
          <w:rFonts w:ascii="Times New Roman" w:hAnsi="Times New Roman"/>
          <w:sz w:val="24"/>
          <w:szCs w:val="24"/>
        </w:rPr>
        <w:t xml:space="preserve">s and (A) </w:t>
      </w:r>
      <w:proofErr w:type="spellStart"/>
      <w:r>
        <w:rPr>
          <w:rFonts w:ascii="Times New Roman" w:hAnsi="Times New Roman"/>
          <w:sz w:val="24"/>
          <w:szCs w:val="24"/>
        </w:rPr>
        <w:t>dorsomedial</w:t>
      </w:r>
      <w:proofErr w:type="spellEnd"/>
      <w:r>
        <w:rPr>
          <w:rFonts w:ascii="Times New Roman" w:hAnsi="Times New Roman"/>
          <w:sz w:val="24"/>
          <w:szCs w:val="24"/>
        </w:rPr>
        <w:t xml:space="preserve"> prefrontal cortex volume and (B) task performance in psychopaths.</w:t>
      </w:r>
      <w:proofErr w:type="gramEnd"/>
      <w:r>
        <w:rPr>
          <w:rFonts w:ascii="Times New Roman" w:hAnsi="Times New Roman"/>
          <w:sz w:val="24"/>
          <w:szCs w:val="24"/>
        </w:rPr>
        <w:t xml:space="preserve"> The plot displays residual variables once covariates were controlled for.</w:t>
      </w:r>
    </w:p>
    <w:p w14:paraId="51ACE05D" w14:textId="77777777" w:rsidR="00142DFC" w:rsidRPr="007A18F6" w:rsidRDefault="00142DFC" w:rsidP="007A18F6">
      <w:pPr>
        <w:jc w:val="center"/>
      </w:pPr>
    </w:p>
    <w:sectPr w:rsidR="00142DFC" w:rsidRPr="007A18F6" w:rsidSect="00142D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F6"/>
    <w:rsid w:val="00142DFC"/>
    <w:rsid w:val="007A18F6"/>
    <w:rsid w:val="00C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170E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F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8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F6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F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8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F6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 Cardoner</dc:creator>
  <cp:keywords/>
  <dc:description/>
  <cp:lastModifiedBy>Narcis Cardoner</cp:lastModifiedBy>
  <cp:revision>2</cp:revision>
  <dcterms:created xsi:type="dcterms:W3CDTF">2016-01-08T00:25:00Z</dcterms:created>
  <dcterms:modified xsi:type="dcterms:W3CDTF">2016-01-11T21:08:00Z</dcterms:modified>
</cp:coreProperties>
</file>